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szCs w:val="22"/>
          <w:lang w:val="en-US"/>
        </w:rPr>
        <w:id w:val="2126582917"/>
        <w:docPartObj>
          <w:docPartGallery w:val="Cover Pages"/>
          <w:docPartUnique/>
        </w:docPartObj>
      </w:sdtPr>
      <w:sdtEndPr>
        <w:rPr>
          <w:rFonts w:asciiTheme="majorHAnsi" w:eastAsiaTheme="majorEastAsia" w:hAnsiTheme="majorHAnsi" w:cstheme="majorBidi"/>
          <w:bCs/>
          <w:color w:val="2F5773" w:themeColor="text2"/>
          <w:sz w:val="30"/>
          <w:szCs w:val="30"/>
        </w:rPr>
      </w:sdtEndPr>
      <w:sdtContent>
        <w:p w:rsidR="00E00BB5" w:rsidRPr="008C64DC" w:rsidRDefault="00E00BB5" w:rsidP="00E00BB5"/>
        <w:p w:rsidR="00925E17" w:rsidRPr="00925E17" w:rsidRDefault="004B7501" w:rsidP="009403A7">
          <w:pPr>
            <w:pStyle w:val="Titlelevel1"/>
          </w:pPr>
          <w:r w:rsidRPr="004B7501">
            <w:t xml:space="preserve">EBA </w:t>
          </w:r>
          <w:r w:rsidR="001B5445">
            <w:t xml:space="preserve">questionnaire </w:t>
          </w:r>
          <w:r w:rsidR="00925E17">
            <w:t xml:space="preserve">on the </w:t>
          </w:r>
          <w:r w:rsidR="001B5445">
            <w:t xml:space="preserve">future </w:t>
          </w:r>
          <w:r w:rsidR="00925E17" w:rsidRPr="00CA2380">
            <w:t>EBA Register under PSD2</w:t>
          </w:r>
        </w:p>
        <w:p w:rsidR="00416E1E" w:rsidRPr="00026506" w:rsidRDefault="00E2088C" w:rsidP="004B4F1C">
          <w:pPr>
            <w:pStyle w:val="numberedparagraph"/>
            <w:spacing w:before="0"/>
          </w:pPr>
          <w:r>
            <w:t>The revised Payment Services Directive</w:t>
          </w:r>
          <w:r w:rsidR="00416E1E">
            <w:rPr>
              <w:rStyle w:val="FootnoteReference"/>
              <w:lang w:val="en-GB"/>
            </w:rPr>
            <w:footnoteReference w:id="2"/>
          </w:r>
          <w:r w:rsidR="00416E1E" w:rsidRPr="00416E1E">
            <w:t xml:space="preserve"> (PSD2)</w:t>
          </w:r>
          <w:r w:rsidR="00416E1E">
            <w:t xml:space="preserve"> </w:t>
          </w:r>
          <w:r>
            <w:t xml:space="preserve">has conferred </w:t>
          </w:r>
          <w:r w:rsidR="00734952">
            <w:t xml:space="preserve">11 mandates on the EBA. </w:t>
          </w:r>
          <w:r w:rsidR="00006B55">
            <w:t>Article 15(4) and (5) of PSD2 confers t</w:t>
          </w:r>
          <w:r>
            <w:t xml:space="preserve">wo mandates </w:t>
          </w:r>
          <w:r w:rsidR="00006B55">
            <w:t>on the EBA related</w:t>
          </w:r>
          <w:r w:rsidR="00416E1E">
            <w:t xml:space="preserve"> to the electronic central </w:t>
          </w:r>
          <w:r w:rsidR="00416E1E" w:rsidRPr="00026506">
            <w:t xml:space="preserve">register that </w:t>
          </w:r>
          <w:r w:rsidR="00764A6F">
            <w:t xml:space="preserve">the </w:t>
          </w:r>
          <w:r w:rsidR="00416E1E" w:rsidRPr="00026506">
            <w:t xml:space="preserve">EBA shall develop, operate and maintain under PSD2. </w:t>
          </w:r>
        </w:p>
        <w:p w:rsidR="00006B55" w:rsidRPr="00026506" w:rsidRDefault="00E2088C" w:rsidP="004B4F1C">
          <w:pPr>
            <w:pStyle w:val="numberedparagraph"/>
            <w:spacing w:before="0"/>
          </w:pPr>
          <w:r w:rsidRPr="00026506">
            <w:t>The mandate under</w:t>
          </w:r>
          <w:r w:rsidR="00416E1E" w:rsidRPr="00026506">
            <w:t xml:space="preserve"> Article 15(4) of PSD2</w:t>
          </w:r>
          <w:r w:rsidRPr="00026506">
            <w:t xml:space="preserve"> foresees for the</w:t>
          </w:r>
          <w:r w:rsidR="00416E1E" w:rsidRPr="00026506">
            <w:t xml:space="preserve"> </w:t>
          </w:r>
          <w:r w:rsidR="00416E1E" w:rsidRPr="00026506">
            <w:rPr>
              <w:lang w:val="en-GB"/>
            </w:rPr>
            <w:t xml:space="preserve">EBA </w:t>
          </w:r>
          <w:r w:rsidRPr="00026506">
            <w:rPr>
              <w:lang w:val="en-GB"/>
            </w:rPr>
            <w:t>to</w:t>
          </w:r>
          <w:r w:rsidR="00416E1E" w:rsidRPr="00026506">
            <w:rPr>
              <w:lang w:val="en-GB"/>
            </w:rPr>
            <w:t xml:space="preserve"> </w:t>
          </w:r>
          <w:r w:rsidR="00006B55" w:rsidRPr="00026506">
            <w:rPr>
              <w:lang w:val="en-GB"/>
            </w:rPr>
            <w:t>“</w:t>
          </w:r>
          <w:r w:rsidR="00006B55" w:rsidRPr="00026506">
            <w:t>develop draft regulatory technical standards setting technical requirements on development, operation and maintenance of the electronic central register and on access to the information contained therein.”</w:t>
          </w:r>
        </w:p>
        <w:p w:rsidR="00006B55" w:rsidRDefault="002C5914" w:rsidP="00006B55">
          <w:pPr>
            <w:pStyle w:val="numberedparagraph"/>
            <w:spacing w:before="0"/>
          </w:pPr>
          <w:r>
            <w:t xml:space="preserve">The mandate under Article 15(5) of PSD2 foresees for the </w:t>
          </w:r>
          <w:r w:rsidRPr="00533D67">
            <w:rPr>
              <w:lang w:val="en-GB"/>
            </w:rPr>
            <w:t xml:space="preserve">EBA to </w:t>
          </w:r>
          <w:r w:rsidR="00006B55" w:rsidRPr="00006B55">
            <w:t>develop draft implementing technical standards on the details and structure of the information</w:t>
          </w:r>
          <w:r w:rsidR="00FD2AE4">
            <w:t xml:space="preserve"> that competent authorities</w:t>
          </w:r>
          <w:r w:rsidR="00533D67">
            <w:t xml:space="preserve"> shall enter in their public registers and notify to the EBA</w:t>
          </w:r>
          <w:r w:rsidR="00006B55" w:rsidRPr="00006B55">
            <w:t>, including the common format and model in which this information is to be provided.</w:t>
          </w:r>
        </w:p>
        <w:p w:rsidR="00CA2380" w:rsidRPr="004B4F1C" w:rsidRDefault="00533D67" w:rsidP="004B4F1C">
          <w:pPr>
            <w:pStyle w:val="numberedparagraph"/>
            <w:spacing w:before="0"/>
          </w:pPr>
          <w:r>
            <w:rPr>
              <w:lang w:val="en-GB"/>
            </w:rPr>
            <w:t>As provided in recital (42) of PSD2</w:t>
          </w:r>
          <w:r w:rsidR="00026506">
            <w:rPr>
              <w:lang w:val="en-GB"/>
            </w:rPr>
            <w:t xml:space="preserve"> </w:t>
          </w:r>
          <w:r w:rsidR="00026506">
            <w:t xml:space="preserve">“in </w:t>
          </w:r>
          <w:r w:rsidR="00026506" w:rsidRPr="00533D67">
            <w:rPr>
              <w:lang w:val="en-GB"/>
            </w:rPr>
            <w:t>order to enhance transparency of the operation of payment institutions that are authorised by, or registered with, competent authorities of the home Member State, including their agents, and to ensure a high level of consumer protection in the Union, it is necessary to ensure easy public access to the list of the entities providing payment services. EBA should therefore develop and operate a central register in which it publishes a list of the names of the entities providing payment services. Member States should ensure that the data that they provide is kept up to date. Those measures should also contribute to the enhancement of the cooperation between the competent authorities.”</w:t>
          </w:r>
        </w:p>
        <w:p w:rsidR="00147124" w:rsidRDefault="00147124" w:rsidP="004B4F1C">
          <w:pPr>
            <w:pStyle w:val="numberedparagraph"/>
            <w:spacing w:before="0"/>
          </w:pPr>
          <w:r w:rsidRPr="004B4F1C">
            <w:t>In prepar</w:t>
          </w:r>
          <w:r w:rsidR="00905B44">
            <w:t>ation of the consultation paper</w:t>
          </w:r>
          <w:r w:rsidRPr="004B4F1C">
            <w:t xml:space="preserve">, the EBA is in the process of carrying out some fact-finding and evidence-gathering, which includes a questionnaire </w:t>
          </w:r>
          <w:r w:rsidR="004C62EF">
            <w:t xml:space="preserve">asking for your </w:t>
          </w:r>
          <w:r w:rsidR="004B4F1C" w:rsidRPr="004B4F1C">
            <w:t>experience with the national public registers</w:t>
          </w:r>
          <w:r w:rsidRPr="004B4F1C">
            <w:t xml:space="preserve">, </w:t>
          </w:r>
          <w:r w:rsidR="00741B78" w:rsidRPr="004B4F1C">
            <w:t>established pursuant to Article 13 of Directive 2007/64/EC</w:t>
          </w:r>
          <w:r w:rsidR="001369F0" w:rsidRPr="004B4F1C">
            <w:rPr>
              <w:rStyle w:val="FootnoteReference"/>
            </w:rPr>
            <w:footnoteReference w:id="3"/>
          </w:r>
          <w:r w:rsidR="00741B78" w:rsidRPr="004B4F1C">
            <w:t xml:space="preserve"> (PSD1)</w:t>
          </w:r>
          <w:r w:rsidR="004B4F1C" w:rsidRPr="004B4F1C">
            <w:t xml:space="preserve"> </w:t>
          </w:r>
          <w:r w:rsidRPr="004B4F1C">
            <w:t xml:space="preserve">and the information that they consider relevant </w:t>
          </w:r>
          <w:r w:rsidR="001B5445">
            <w:t xml:space="preserve">and that should therefore </w:t>
          </w:r>
          <w:r w:rsidR="00DB06C6" w:rsidRPr="004B4F1C">
            <w:t xml:space="preserve">be contained </w:t>
          </w:r>
          <w:r w:rsidR="000C4B07" w:rsidRPr="004B4F1C">
            <w:t>in</w:t>
          </w:r>
          <w:r w:rsidRPr="004B4F1C">
            <w:t xml:space="preserve"> the </w:t>
          </w:r>
          <w:r w:rsidR="001B5445">
            <w:t xml:space="preserve">future </w:t>
          </w:r>
          <w:r w:rsidRPr="004B4F1C">
            <w:t>electron</w:t>
          </w:r>
          <w:r w:rsidR="000406AC" w:rsidRPr="004B4F1C">
            <w:t>ic central register</w:t>
          </w:r>
          <w:r w:rsidR="001B5445">
            <w:t xml:space="preserve"> of the EBA</w:t>
          </w:r>
          <w:r w:rsidR="000406AC" w:rsidRPr="004B4F1C">
            <w:t>.</w:t>
          </w:r>
          <w:r w:rsidR="008F0446">
            <w:t xml:space="preserve"> The information provided by </w:t>
          </w:r>
          <w:r w:rsidR="004C62EF">
            <w:t>you</w:t>
          </w:r>
          <w:r w:rsidR="008F0446">
            <w:t xml:space="preserve"> will be used by the EBA in the process of developing the two mandates under Article 15(4) and (5) of the PSD2 related to the EBA Register.</w:t>
          </w:r>
        </w:p>
        <w:p w:rsidR="00E5585F" w:rsidRDefault="00E5585F" w:rsidP="00E5585F">
          <w:pPr>
            <w:pStyle w:val="numberedparagraph"/>
            <w:spacing w:before="0"/>
          </w:pPr>
          <w:r>
            <w:lastRenderedPageBreak/>
            <w:t>Article 3(1) of Directive 2009/110/EC</w:t>
          </w:r>
          <w:r>
            <w:rPr>
              <w:rStyle w:val="FootnoteReference"/>
            </w:rPr>
            <w:footnoteReference w:id="4"/>
          </w:r>
          <w:r>
            <w:t xml:space="preserve"> (</w:t>
          </w:r>
          <w:r w:rsidRPr="00C95B5D">
            <w:t>EMD2</w:t>
          </w:r>
          <w:r>
            <w:t xml:space="preserve">) provides that “without </w:t>
          </w:r>
          <w:r w:rsidRPr="00232C62">
            <w:t xml:space="preserve">prejudice to this Directive, Articles 5 and 10 to 15, Article 17(7) and Articles 18 to 25 of Directive 2007/64/EC shall apply to electronic money institutions </w:t>
          </w:r>
          <w:r w:rsidRPr="00232C62">
            <w:rPr>
              <w:i/>
            </w:rPr>
            <w:t>mutatis mutandis</w:t>
          </w:r>
          <w:r w:rsidRPr="00232C62">
            <w:t>.</w:t>
          </w:r>
          <w:r>
            <w:t>”</w:t>
          </w:r>
        </w:p>
        <w:p w:rsidR="00E5585F" w:rsidRDefault="00905B44" w:rsidP="00E5585F">
          <w:pPr>
            <w:pStyle w:val="numberedparagraph"/>
            <w:spacing w:before="0"/>
          </w:pPr>
          <w:r>
            <w:t>Further</w:t>
          </w:r>
          <w:r w:rsidR="00E5585F">
            <w:t>more, Article 111(1)(a) of PSD2 also provides that Article 3(1) of EMD2 is replaced by the following:</w:t>
          </w:r>
        </w:p>
        <w:p w:rsidR="00E5585F" w:rsidRDefault="00E5585F" w:rsidP="00E5585F">
          <w:pPr>
            <w:pStyle w:val="numberedparagraph"/>
            <w:numPr>
              <w:ilvl w:val="0"/>
              <w:numId w:val="0"/>
            </w:numPr>
            <w:spacing w:before="0"/>
            <w:ind w:left="284"/>
          </w:pPr>
          <w:r>
            <w:t>“</w:t>
          </w:r>
          <w:r w:rsidRPr="00232C62">
            <w:t>Without prejudice to this Directive, Article 5, Articles 11 to 17, Article 19(5) and (6) and Articles 20 to 31 of Directive (EU) 2015/2366 of the European Parliament and of the Council (*), including the delegated acts adopted under Article 15(4), Article 28(5) and Article 29(7) thereof, shall apply to electronic money institutions mutatis mutandis.</w:t>
          </w:r>
          <w:r>
            <w:t>”</w:t>
          </w:r>
        </w:p>
        <w:p w:rsidR="00475FA7" w:rsidRPr="004B4F1C" w:rsidRDefault="00475FA7" w:rsidP="004B4F1C">
          <w:pPr>
            <w:pStyle w:val="numberedparagraph"/>
            <w:spacing w:before="0"/>
          </w:pPr>
          <w:r>
            <w:t>Throughout the questionnaire you will find few references to PSD2</w:t>
          </w:r>
          <w:r>
            <w:rPr>
              <w:rFonts w:ascii="Calibri" w:hAnsi="Calibri"/>
              <w:color w:val="000000" w:themeColor="text1"/>
            </w:rPr>
            <w:t xml:space="preserve">. </w:t>
          </w:r>
          <w:r w:rsidR="007B39D7">
            <w:rPr>
              <w:rFonts w:ascii="Calibri" w:hAnsi="Calibri"/>
              <w:color w:val="000000" w:themeColor="text1"/>
            </w:rPr>
            <w:t>The</w:t>
          </w:r>
          <w:r w:rsidR="0040026F">
            <w:rPr>
              <w:rFonts w:ascii="Calibri" w:hAnsi="Calibri"/>
              <w:color w:val="000000" w:themeColor="text1"/>
            </w:rPr>
            <w:t xml:space="preserve"> provisions of PSD2 that are referred to</w:t>
          </w:r>
          <w:r w:rsidR="007B39D7">
            <w:rPr>
              <w:rFonts w:ascii="Calibri" w:hAnsi="Calibri"/>
              <w:color w:val="000000" w:themeColor="text1"/>
            </w:rPr>
            <w:t xml:space="preserve"> are reproduced in their entirety </w:t>
          </w:r>
          <w:r w:rsidR="007B39D7">
            <w:rPr>
              <w:lang w:val="en-GB"/>
            </w:rPr>
            <w:t>in the Annex to this questionnaire.</w:t>
          </w:r>
        </w:p>
        <w:p w:rsidR="00E5585F" w:rsidRPr="00E5585F" w:rsidRDefault="004B356E" w:rsidP="00E1552A">
          <w:pPr>
            <w:pStyle w:val="numberedparagraph"/>
            <w:rPr>
              <w:lang w:val="fr-FR"/>
            </w:rPr>
          </w:pPr>
          <w:r w:rsidRPr="004B356E">
            <w:t xml:space="preserve">We would be grateful if you could complete and return the questionnaire to </w:t>
          </w:r>
          <w:hyperlink r:id="rId9" w:history="1">
            <w:r w:rsidR="00E1552A" w:rsidRPr="008F4D21">
              <w:rPr>
                <w:rStyle w:val="Hyperlink"/>
              </w:rPr>
              <w:t>mailto:Antonio.Barzachki@eba.europa.eu</w:t>
            </w:r>
          </w:hyperlink>
          <w:r w:rsidR="00E1552A">
            <w:t xml:space="preserve"> </w:t>
          </w:r>
          <w:r w:rsidRPr="00026506">
            <w:rPr>
              <w:b/>
              <w:bCs/>
            </w:rPr>
            <w:t xml:space="preserve">by </w:t>
          </w:r>
          <w:r w:rsidR="002B0450">
            <w:rPr>
              <w:b/>
              <w:bCs/>
            </w:rPr>
            <w:t>13</w:t>
          </w:r>
          <w:r w:rsidR="00414806" w:rsidRPr="00026506">
            <w:rPr>
              <w:b/>
              <w:bCs/>
            </w:rPr>
            <w:t xml:space="preserve"> </w:t>
          </w:r>
          <w:r w:rsidR="005E7828" w:rsidRPr="00026506">
            <w:rPr>
              <w:b/>
              <w:bCs/>
            </w:rPr>
            <w:t>April 2017</w:t>
          </w:r>
          <w:r w:rsidRPr="00026506">
            <w:rPr>
              <w:b/>
              <w:bCs/>
            </w:rPr>
            <w:t xml:space="preserve">, </w:t>
          </w:r>
          <w:r w:rsidR="00473E7A" w:rsidRPr="00026506">
            <w:rPr>
              <w:b/>
              <w:bCs/>
            </w:rPr>
            <w:t>cob</w:t>
          </w:r>
          <w:r w:rsidRPr="00026506">
            <w:t>.</w:t>
          </w:r>
        </w:p>
        <w:p w:rsidR="005A40A3" w:rsidRDefault="005A40A3">
          <w:pPr>
            <w:rPr>
              <w:lang w:val="en-US"/>
            </w:rPr>
          </w:pPr>
          <w:r>
            <w:br w:type="page"/>
          </w:r>
        </w:p>
      </w:sdtContent>
    </w:sdt>
    <w:p w:rsidR="001800CF" w:rsidRPr="001800CF" w:rsidRDefault="001800CF" w:rsidP="001800CF">
      <w:pPr>
        <w:pStyle w:val="Heading2"/>
        <w:numPr>
          <w:ilvl w:val="0"/>
          <w:numId w:val="0"/>
        </w:numPr>
        <w:rPr>
          <w:b/>
          <w:sz w:val="40"/>
          <w:szCs w:val="40"/>
        </w:rPr>
      </w:pPr>
      <w:r w:rsidRPr="001800CF">
        <w:rPr>
          <w:b/>
          <w:sz w:val="40"/>
          <w:szCs w:val="40"/>
        </w:rPr>
        <w:lastRenderedPageBreak/>
        <w:t>General comments</w:t>
      </w:r>
    </w:p>
    <w:p w:rsidR="00D341CF" w:rsidRDefault="00D341CF" w:rsidP="00D341CF">
      <w:pPr>
        <w:spacing w:before="120" w:after="120"/>
        <w:jc w:val="both"/>
        <w:rPr>
          <w:lang w:val="en-US"/>
        </w:rPr>
      </w:pPr>
      <w:r>
        <w:rPr>
          <w:lang w:val="en-US"/>
        </w:rPr>
        <w:t xml:space="preserve">We support the PSD2’s creation of a central EBA Register, which will serve as a one-stop-shop for consumers and businesses alike to access up-to-date information about the Payment Service Providers (PSPs) they interact with. </w:t>
      </w:r>
    </w:p>
    <w:p w:rsidR="00D341CF" w:rsidRDefault="00D341CF" w:rsidP="00D341CF">
      <w:pPr>
        <w:spacing w:before="120" w:after="120"/>
        <w:jc w:val="both"/>
        <w:rPr>
          <w:lang w:val="en-US"/>
        </w:rPr>
      </w:pPr>
      <w:r>
        <w:rPr>
          <w:lang w:val="en-US"/>
        </w:rPr>
        <w:t xml:space="preserve">Generally speaking, the Register should provide all the necessary information for both consumer and business use cases, which are inherently different. While a consumer will be more interested in accessing contact information for a given PSP, a business will look to identity and verify a given partner in real-time (e.g. to allow a </w:t>
      </w:r>
      <w:r>
        <w:rPr>
          <w:lang w:val="de-DE"/>
        </w:rPr>
        <w:t xml:space="preserve">Third-Party Payment Provider (TPP) access to </w:t>
      </w:r>
      <w:r w:rsidRPr="005B1203">
        <w:rPr>
          <w:lang w:val="de-DE"/>
        </w:rPr>
        <w:t>the Acount Se</w:t>
      </w:r>
      <w:r>
        <w:rPr>
          <w:lang w:val="de-DE"/>
        </w:rPr>
        <w:t xml:space="preserve">rvicing Payment Service </w:t>
      </w:r>
      <w:r w:rsidRPr="00856E9B">
        <w:t>Provider</w:t>
      </w:r>
      <w:r>
        <w:t>’</w:t>
      </w:r>
      <w:r w:rsidRPr="00856E9B">
        <w:t>s</w:t>
      </w:r>
      <w:r w:rsidRPr="005B1203">
        <w:rPr>
          <w:lang w:val="de-DE"/>
        </w:rPr>
        <w:t xml:space="preserve"> (ASPSP) interface</w:t>
      </w:r>
      <w:r>
        <w:rPr>
          <w:lang w:val="de-DE"/>
        </w:rPr>
        <w:t xml:space="preserve">). </w:t>
      </w:r>
    </w:p>
    <w:p w:rsidR="00D341CF" w:rsidRPr="00F07267" w:rsidRDefault="00D341CF" w:rsidP="00D341CF">
      <w:pPr>
        <w:spacing w:before="120" w:after="120"/>
        <w:contextualSpacing/>
        <w:jc w:val="both"/>
        <w:rPr>
          <w:lang w:val="de-DE"/>
        </w:rPr>
      </w:pPr>
      <w:r>
        <w:rPr>
          <w:lang w:val="en-US"/>
        </w:rPr>
        <w:t>From a Payment Institution’s (PI) perspective, the Register should provide c</w:t>
      </w:r>
      <w:r w:rsidRPr="005B1203">
        <w:rPr>
          <w:lang w:val="de-DE"/>
        </w:rPr>
        <w:t>apabilities for real-time partner verifications through fa</w:t>
      </w:r>
      <w:r>
        <w:rPr>
          <w:lang w:val="de-DE"/>
        </w:rPr>
        <w:t xml:space="preserve">st and directly accessible APIs. </w:t>
      </w:r>
      <w:r w:rsidRPr="00F07267">
        <w:rPr>
          <w:lang w:val="de-DE"/>
        </w:rPr>
        <w:t>This means the EBA Register should:</w:t>
      </w:r>
    </w:p>
    <w:p w:rsidR="00D341CF" w:rsidRDefault="00D341CF" w:rsidP="00D341CF">
      <w:pPr>
        <w:pStyle w:val="ListParagraph"/>
        <w:numPr>
          <w:ilvl w:val="0"/>
          <w:numId w:val="64"/>
        </w:numPr>
        <w:spacing w:before="120" w:after="120" w:line="240" w:lineRule="auto"/>
        <w:jc w:val="both"/>
        <w:rPr>
          <w:lang w:val="de-DE"/>
        </w:rPr>
      </w:pPr>
      <w:r>
        <w:rPr>
          <w:lang w:val="de-DE"/>
        </w:rPr>
        <w:t xml:space="preserve">contain comprehensive data for PSP identity, license and capability verification; </w:t>
      </w:r>
    </w:p>
    <w:p w:rsidR="00D341CF" w:rsidRDefault="00D341CF" w:rsidP="00D341CF">
      <w:pPr>
        <w:pStyle w:val="ListParagraph"/>
        <w:numPr>
          <w:ilvl w:val="0"/>
          <w:numId w:val="64"/>
        </w:numPr>
        <w:spacing w:before="120" w:after="120" w:line="240" w:lineRule="auto"/>
        <w:jc w:val="both"/>
        <w:rPr>
          <w:lang w:val="de-DE"/>
        </w:rPr>
      </w:pPr>
      <w:r>
        <w:rPr>
          <w:lang w:val="de-DE"/>
        </w:rPr>
        <w:t>be easily accessible;</w:t>
      </w:r>
    </w:p>
    <w:p w:rsidR="00D341CF" w:rsidRDefault="00D341CF" w:rsidP="00D341CF">
      <w:pPr>
        <w:pStyle w:val="ListParagraph"/>
        <w:numPr>
          <w:ilvl w:val="0"/>
          <w:numId w:val="64"/>
        </w:numPr>
        <w:spacing w:before="120" w:after="120" w:line="240" w:lineRule="auto"/>
        <w:jc w:val="both"/>
        <w:rPr>
          <w:lang w:val="de-DE"/>
        </w:rPr>
      </w:pPr>
      <w:r>
        <w:rPr>
          <w:lang w:val="de-DE"/>
        </w:rPr>
        <w:t>be kept up-to-date in real-time; and</w:t>
      </w:r>
    </w:p>
    <w:p w:rsidR="001800CF" w:rsidRPr="00E61206" w:rsidRDefault="00D341CF" w:rsidP="00E61206">
      <w:pPr>
        <w:pStyle w:val="ListParagraph"/>
        <w:spacing w:before="120" w:after="120" w:line="240" w:lineRule="auto"/>
        <w:jc w:val="both"/>
        <w:rPr>
          <w:sz w:val="30"/>
          <w:szCs w:val="30"/>
          <w:lang w:val="de-DE"/>
        </w:rPr>
      </w:pPr>
      <w:r>
        <w:rPr>
          <w:lang w:val="de-DE"/>
        </w:rPr>
        <w:t>be free of charge to Payment Institutions registered in the EU.</w:t>
      </w:r>
    </w:p>
    <w:p w:rsidR="005A40A3" w:rsidRPr="00781BD0" w:rsidRDefault="005A40A3" w:rsidP="002B65E7">
      <w:pPr>
        <w:pStyle w:val="Titlelevel2"/>
        <w:jc w:val="both"/>
        <w:rPr>
          <w:sz w:val="30"/>
          <w:szCs w:val="30"/>
        </w:rPr>
      </w:pPr>
      <w:r>
        <w:rPr>
          <w:sz w:val="30"/>
          <w:szCs w:val="30"/>
        </w:rPr>
        <w:t>S</w:t>
      </w:r>
      <w:r w:rsidR="004B356E" w:rsidRPr="00781BD0">
        <w:rPr>
          <w:sz w:val="30"/>
          <w:szCs w:val="30"/>
        </w:rPr>
        <w:t xml:space="preserve">ection 1 – </w:t>
      </w:r>
      <w:r w:rsidR="004B4F1C">
        <w:rPr>
          <w:sz w:val="30"/>
          <w:szCs w:val="30"/>
        </w:rPr>
        <w:t>E</w:t>
      </w:r>
      <w:r w:rsidR="004B4F1C" w:rsidRPr="004B4F1C">
        <w:rPr>
          <w:sz w:val="30"/>
          <w:szCs w:val="30"/>
        </w:rPr>
        <w:t xml:space="preserve">xperience </w:t>
      </w:r>
      <w:r w:rsidR="004B4F1C">
        <w:rPr>
          <w:sz w:val="30"/>
          <w:szCs w:val="30"/>
        </w:rPr>
        <w:t xml:space="preserve">of payment institutions </w:t>
      </w:r>
      <w:r w:rsidR="004B4F1C" w:rsidRPr="004B4F1C">
        <w:rPr>
          <w:sz w:val="30"/>
          <w:szCs w:val="30"/>
        </w:rPr>
        <w:t>with the national public registers</w:t>
      </w:r>
      <w:r w:rsidR="008B4CB2">
        <w:rPr>
          <w:sz w:val="30"/>
          <w:szCs w:val="30"/>
        </w:rPr>
        <w:t xml:space="preserve"> (NPR)</w:t>
      </w:r>
      <w:r w:rsidR="004B4F1C" w:rsidRPr="004B4F1C">
        <w:rPr>
          <w:sz w:val="30"/>
          <w:szCs w:val="30"/>
        </w:rPr>
        <w:t>, established pursuant to Article 13 of</w:t>
      </w:r>
      <w:r w:rsidR="004B4F1C">
        <w:rPr>
          <w:sz w:val="30"/>
          <w:szCs w:val="30"/>
        </w:rPr>
        <w:t xml:space="preserve"> PSD1</w:t>
      </w:r>
    </w:p>
    <w:p w:rsidR="008B4CB2" w:rsidRPr="008B4CB2" w:rsidRDefault="008B4CB2" w:rsidP="008B4CB2">
      <w:pPr>
        <w:pStyle w:val="ListParagraph"/>
        <w:numPr>
          <w:ilvl w:val="0"/>
          <w:numId w:val="62"/>
        </w:numPr>
        <w:ind w:left="284" w:hanging="284"/>
        <w:jc w:val="both"/>
        <w:rPr>
          <w:b/>
          <w:lang w:val="en-US"/>
        </w:rPr>
      </w:pPr>
      <w:r>
        <w:rPr>
          <w:b/>
        </w:rPr>
        <w:t>Do you consider the information contained in the NPRs under PSD1 to be comprehensive enough</w:t>
      </w:r>
      <w:r w:rsidR="002650B4">
        <w:rPr>
          <w:b/>
        </w:rPr>
        <w:t xml:space="preserve"> in order to meet the objective</w:t>
      </w:r>
      <w:r>
        <w:rPr>
          <w:b/>
        </w:rPr>
        <w:t xml:space="preserve"> of PSD1 to provide transparency </w:t>
      </w:r>
      <w:r w:rsidR="00CC2BE4">
        <w:rPr>
          <w:b/>
        </w:rPr>
        <w:t>i</w:t>
      </w:r>
      <w:r>
        <w:rPr>
          <w:b/>
        </w:rPr>
        <w:t>n the payment market?</w:t>
      </w:r>
      <w:r w:rsidRPr="008B4CB2">
        <w:rPr>
          <w:b/>
        </w:rPr>
        <w:t xml:space="preserve"> </w:t>
      </w:r>
      <w:r>
        <w:rPr>
          <w:b/>
        </w:rPr>
        <w:t>(</w:t>
      </w:r>
      <w:r w:rsidR="002650B4">
        <w:rPr>
          <w:b/>
        </w:rPr>
        <w:t>P</w:t>
      </w:r>
      <w:r w:rsidRPr="00C40CD7">
        <w:rPr>
          <w:b/>
        </w:rPr>
        <w:t>lease explain your reasoning</w:t>
      </w:r>
      <w:r w:rsidR="00CC2BE4" w:rsidRPr="00CC2BE4">
        <w:rPr>
          <w:b/>
        </w:rPr>
        <w:t xml:space="preserve"> </w:t>
      </w:r>
      <w:r w:rsidR="00CC2BE4">
        <w:rPr>
          <w:b/>
        </w:rPr>
        <w:t>and indicate the respective national jurisdictions that you refer to</w:t>
      </w:r>
      <w:r>
        <w:rPr>
          <w:b/>
        </w:rPr>
        <w:t>)</w:t>
      </w:r>
    </w:p>
    <w:p w:rsidR="008B4CB2" w:rsidRPr="00A321C8" w:rsidRDefault="00EB5917" w:rsidP="009569FD">
      <w:pPr>
        <w:pStyle w:val="ListParagraph"/>
        <w:tabs>
          <w:tab w:val="left" w:pos="567"/>
        </w:tabs>
        <w:spacing w:after="0" w:line="240" w:lineRule="auto"/>
        <w:ind w:left="284"/>
        <w:jc w:val="both"/>
        <w:rPr>
          <w:rFonts w:ascii="Calibri" w:hAnsi="Calibri"/>
          <w:color w:val="000000" w:themeColor="text1"/>
        </w:rPr>
      </w:pPr>
      <w:r>
        <w:fldChar w:fldCharType="begin">
          <w:ffData>
            <w:name w:val=""/>
            <w:enabled/>
            <w:calcOnExit w:val="0"/>
            <w:checkBox>
              <w:sizeAuto/>
              <w:default w:val="1"/>
            </w:checkBox>
          </w:ffData>
        </w:fldChar>
      </w:r>
      <w:r>
        <w:instrText xml:space="preserve"> FORMCHECKBOX </w:instrText>
      </w:r>
      <w:r w:rsidR="000019DA">
        <w:fldChar w:fldCharType="separate"/>
      </w:r>
      <w:r>
        <w:fldChar w:fldCharType="end"/>
      </w:r>
      <w:r w:rsidR="008B4CB2" w:rsidRPr="00A321C8">
        <w:rPr>
          <w:rFonts w:ascii="Calibri" w:hAnsi="Calibri"/>
          <w:color w:val="000000" w:themeColor="text1"/>
        </w:rPr>
        <w:tab/>
      </w:r>
      <w:r w:rsidR="008B4CB2">
        <w:rPr>
          <w:rFonts w:ascii="Calibri" w:hAnsi="Calibri"/>
          <w:color w:val="000000" w:themeColor="text1"/>
        </w:rPr>
        <w:t>Yes</w:t>
      </w:r>
    </w:p>
    <w:p w:rsidR="008B4CB2" w:rsidRPr="00A321C8" w:rsidRDefault="008B4CB2" w:rsidP="009569FD">
      <w:pPr>
        <w:pStyle w:val="ListParagraph"/>
        <w:tabs>
          <w:tab w:val="left" w:pos="567"/>
        </w:tabs>
        <w:spacing w:after="0" w:line="240" w:lineRule="auto"/>
        <w:ind w:left="284"/>
        <w:jc w:val="both"/>
        <w:rPr>
          <w:rFonts w:ascii="Calibri" w:hAnsi="Calibri"/>
          <w:color w:val="000000" w:themeColor="text1"/>
        </w:rPr>
      </w:pPr>
      <w:r w:rsidRPr="00A321C8">
        <w:fldChar w:fldCharType="begin">
          <w:ffData>
            <w:name w:val="Check1"/>
            <w:enabled/>
            <w:calcOnExit w:val="0"/>
            <w:checkBox>
              <w:sizeAuto/>
              <w:default w:val="0"/>
            </w:checkBox>
          </w:ffData>
        </w:fldChar>
      </w:r>
      <w:r w:rsidRPr="00A321C8">
        <w:instrText xml:space="preserve"> FORMCHECKBOX </w:instrText>
      </w:r>
      <w:r w:rsidR="000019DA">
        <w:fldChar w:fldCharType="separate"/>
      </w:r>
      <w:r w:rsidRPr="00A321C8">
        <w:fldChar w:fldCharType="end"/>
      </w:r>
      <w:r w:rsidRPr="00A321C8">
        <w:rPr>
          <w:rFonts w:ascii="Calibri" w:hAnsi="Calibri"/>
          <w:color w:val="000000" w:themeColor="text1"/>
        </w:rPr>
        <w:tab/>
      </w:r>
      <w:r>
        <w:rPr>
          <w:rFonts w:ascii="Calibri" w:hAnsi="Calibri"/>
          <w:color w:val="000000" w:themeColor="text1"/>
        </w:rPr>
        <w:t>No</w:t>
      </w:r>
    </w:p>
    <w:tbl>
      <w:tblPr>
        <w:tblStyle w:val="TableGrid"/>
        <w:tblW w:w="0" w:type="auto"/>
        <w:tblInd w:w="108"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789"/>
      </w:tblGrid>
      <w:tr w:rsidR="008B4CB2" w:rsidRPr="00BD6920" w:rsidTr="001B1CC0">
        <w:trPr>
          <w:cnfStyle w:val="100000000000" w:firstRow="1" w:lastRow="0" w:firstColumn="0" w:lastColumn="0" w:oddVBand="0" w:evenVBand="0" w:oddHBand="0" w:evenHBand="0" w:firstRowFirstColumn="0" w:firstRowLastColumn="0" w:lastRowFirstColumn="0" w:lastRowLastColumn="0"/>
          <w:trHeight w:val="656"/>
        </w:trPr>
        <w:tc>
          <w:tcPr>
            <w:tcW w:w="87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4CB2" w:rsidRDefault="008B4CB2" w:rsidP="001B1CC0">
            <w:pPr>
              <w:pStyle w:val="ListParagraph"/>
              <w:spacing w:after="0" w:line="240" w:lineRule="auto"/>
              <w:ind w:left="0"/>
              <w:jc w:val="both"/>
              <w:rPr>
                <w:sz w:val="18"/>
              </w:rPr>
            </w:pPr>
          </w:p>
          <w:p w:rsidR="00D54026" w:rsidRPr="00D54026" w:rsidRDefault="00D54026" w:rsidP="001D4DF4">
            <w:pPr>
              <w:pStyle w:val="ListParagraph"/>
              <w:spacing w:after="0" w:line="240" w:lineRule="auto"/>
              <w:ind w:left="0"/>
              <w:jc w:val="both"/>
              <w:rPr>
                <w:sz w:val="20"/>
                <w:szCs w:val="20"/>
              </w:rPr>
            </w:pPr>
            <w:r w:rsidRPr="00D54026">
              <w:rPr>
                <w:sz w:val="20"/>
                <w:szCs w:val="20"/>
              </w:rPr>
              <w:t xml:space="preserve">We are basing our experience on that in the UK. </w:t>
            </w:r>
          </w:p>
          <w:p w:rsidR="001D4DF4" w:rsidRDefault="001D4DF4" w:rsidP="001D4DF4">
            <w:pPr>
              <w:pStyle w:val="ListParagraph"/>
              <w:spacing w:after="0" w:line="240" w:lineRule="auto"/>
              <w:ind w:left="0"/>
              <w:jc w:val="both"/>
              <w:rPr>
                <w:sz w:val="18"/>
              </w:rPr>
            </w:pPr>
            <w:r w:rsidRPr="00D54026">
              <w:rPr>
                <w:sz w:val="20"/>
                <w:szCs w:val="20"/>
              </w:rPr>
              <w:t>Whilst the information is transparent and clear in the UK (FCA) Register, we would like to see the same level of detailed data that is made available for banks, available for PIs and EMIs.  For example, bank data includes the name of officers which may be useful if we need to contact another PI</w:t>
            </w:r>
            <w:r>
              <w:rPr>
                <w:sz w:val="18"/>
              </w:rPr>
              <w:t>.</w:t>
            </w:r>
          </w:p>
          <w:p w:rsidR="008B4CB2" w:rsidRPr="00BD6920" w:rsidRDefault="008B4CB2" w:rsidP="001B1CC0">
            <w:pPr>
              <w:pStyle w:val="ListParagraph"/>
              <w:spacing w:after="0" w:line="240" w:lineRule="auto"/>
              <w:ind w:left="0"/>
              <w:jc w:val="both"/>
              <w:rPr>
                <w:sz w:val="18"/>
              </w:rPr>
            </w:pPr>
          </w:p>
        </w:tc>
      </w:tr>
    </w:tbl>
    <w:p w:rsidR="00875966" w:rsidRPr="00875966" w:rsidRDefault="00875966" w:rsidP="00875966">
      <w:pPr>
        <w:pStyle w:val="ListParagraph"/>
        <w:ind w:left="284"/>
        <w:jc w:val="both"/>
        <w:rPr>
          <w:b/>
          <w:lang w:val="en-US"/>
        </w:rPr>
      </w:pPr>
    </w:p>
    <w:p w:rsidR="00875966" w:rsidRPr="008B4CB2" w:rsidRDefault="00875966" w:rsidP="00875966">
      <w:pPr>
        <w:pStyle w:val="ListParagraph"/>
        <w:numPr>
          <w:ilvl w:val="0"/>
          <w:numId w:val="62"/>
        </w:numPr>
        <w:ind w:left="284" w:hanging="284"/>
        <w:jc w:val="both"/>
        <w:rPr>
          <w:b/>
          <w:lang w:val="en-US"/>
        </w:rPr>
      </w:pPr>
      <w:r>
        <w:rPr>
          <w:b/>
        </w:rPr>
        <w:t xml:space="preserve">Do you consider the information contained in the NPRs under PSD1 to be </w:t>
      </w:r>
      <w:r w:rsidR="00CC2BE4">
        <w:rPr>
          <w:b/>
        </w:rPr>
        <w:t>accurately presented</w:t>
      </w:r>
      <w:r>
        <w:rPr>
          <w:b/>
        </w:rPr>
        <w:t>?</w:t>
      </w:r>
      <w:r w:rsidRPr="008B4CB2">
        <w:rPr>
          <w:b/>
        </w:rPr>
        <w:t xml:space="preserve"> </w:t>
      </w:r>
      <w:r w:rsidR="00CC2BE4">
        <w:rPr>
          <w:b/>
        </w:rPr>
        <w:t>(P</w:t>
      </w:r>
      <w:r w:rsidR="00CC2BE4" w:rsidRPr="00C40CD7">
        <w:rPr>
          <w:b/>
        </w:rPr>
        <w:t>lease explain your reasoning</w:t>
      </w:r>
      <w:r w:rsidR="00CC2BE4" w:rsidRPr="00CC2BE4">
        <w:rPr>
          <w:b/>
        </w:rPr>
        <w:t xml:space="preserve"> </w:t>
      </w:r>
      <w:r w:rsidR="00CC2BE4">
        <w:rPr>
          <w:b/>
        </w:rPr>
        <w:t>and indicate the respective national jurisdictions that you refer to)</w:t>
      </w:r>
    </w:p>
    <w:p w:rsidR="00875966" w:rsidRPr="00A321C8" w:rsidRDefault="00EB5917" w:rsidP="00875966">
      <w:pPr>
        <w:pStyle w:val="ListParagraph"/>
        <w:tabs>
          <w:tab w:val="left" w:pos="567"/>
        </w:tabs>
        <w:spacing w:after="0" w:line="240" w:lineRule="auto"/>
        <w:ind w:left="284"/>
        <w:jc w:val="both"/>
        <w:rPr>
          <w:rFonts w:ascii="Calibri" w:hAnsi="Calibri"/>
          <w:color w:val="000000" w:themeColor="text1"/>
        </w:rPr>
      </w:pPr>
      <w:r>
        <w:fldChar w:fldCharType="begin">
          <w:ffData>
            <w:name w:val=""/>
            <w:enabled/>
            <w:calcOnExit w:val="0"/>
            <w:checkBox>
              <w:sizeAuto/>
              <w:default w:val="1"/>
            </w:checkBox>
          </w:ffData>
        </w:fldChar>
      </w:r>
      <w:r>
        <w:instrText xml:space="preserve"> FORMCHECKBOX </w:instrText>
      </w:r>
      <w:r w:rsidR="000019DA">
        <w:fldChar w:fldCharType="separate"/>
      </w:r>
      <w:r>
        <w:fldChar w:fldCharType="end"/>
      </w:r>
      <w:r w:rsidR="00875966" w:rsidRPr="00A321C8">
        <w:rPr>
          <w:rFonts w:ascii="Calibri" w:hAnsi="Calibri"/>
          <w:color w:val="000000" w:themeColor="text1"/>
        </w:rPr>
        <w:tab/>
      </w:r>
      <w:r w:rsidR="00875966">
        <w:rPr>
          <w:rFonts w:ascii="Calibri" w:hAnsi="Calibri"/>
          <w:color w:val="000000" w:themeColor="text1"/>
        </w:rPr>
        <w:t>Yes</w:t>
      </w:r>
    </w:p>
    <w:p w:rsidR="00875966" w:rsidRPr="00A321C8" w:rsidRDefault="00875966" w:rsidP="00875966">
      <w:pPr>
        <w:pStyle w:val="ListParagraph"/>
        <w:tabs>
          <w:tab w:val="left" w:pos="567"/>
        </w:tabs>
        <w:spacing w:after="0" w:line="240" w:lineRule="auto"/>
        <w:ind w:left="284"/>
        <w:jc w:val="both"/>
        <w:rPr>
          <w:rFonts w:ascii="Calibri" w:hAnsi="Calibri"/>
          <w:color w:val="000000" w:themeColor="text1"/>
        </w:rPr>
      </w:pPr>
      <w:r w:rsidRPr="00A321C8">
        <w:fldChar w:fldCharType="begin">
          <w:ffData>
            <w:name w:val="Check1"/>
            <w:enabled/>
            <w:calcOnExit w:val="0"/>
            <w:checkBox>
              <w:sizeAuto/>
              <w:default w:val="0"/>
            </w:checkBox>
          </w:ffData>
        </w:fldChar>
      </w:r>
      <w:r w:rsidRPr="00A321C8">
        <w:instrText xml:space="preserve"> FORMCHECKBOX </w:instrText>
      </w:r>
      <w:r w:rsidR="000019DA">
        <w:fldChar w:fldCharType="separate"/>
      </w:r>
      <w:r w:rsidRPr="00A321C8">
        <w:fldChar w:fldCharType="end"/>
      </w:r>
      <w:r w:rsidRPr="00A321C8">
        <w:rPr>
          <w:rFonts w:ascii="Calibri" w:hAnsi="Calibri"/>
          <w:color w:val="000000" w:themeColor="text1"/>
        </w:rPr>
        <w:tab/>
      </w:r>
      <w:r>
        <w:rPr>
          <w:rFonts w:ascii="Calibri" w:hAnsi="Calibri"/>
          <w:color w:val="000000" w:themeColor="text1"/>
        </w:rPr>
        <w:t>No</w:t>
      </w:r>
    </w:p>
    <w:tbl>
      <w:tblPr>
        <w:tblStyle w:val="TableGrid"/>
        <w:tblW w:w="0" w:type="auto"/>
        <w:tblInd w:w="108"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789"/>
      </w:tblGrid>
      <w:tr w:rsidR="00875966" w:rsidRPr="00BD6920" w:rsidTr="000F5823">
        <w:trPr>
          <w:cnfStyle w:val="100000000000" w:firstRow="1" w:lastRow="0" w:firstColumn="0" w:lastColumn="0" w:oddVBand="0" w:evenVBand="0" w:oddHBand="0" w:evenHBand="0" w:firstRowFirstColumn="0" w:firstRowLastColumn="0" w:lastRowFirstColumn="0" w:lastRowLastColumn="0"/>
          <w:trHeight w:val="656"/>
        </w:trPr>
        <w:tc>
          <w:tcPr>
            <w:tcW w:w="87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966" w:rsidRDefault="00875966" w:rsidP="000F5823">
            <w:pPr>
              <w:pStyle w:val="ListParagraph"/>
              <w:spacing w:after="0" w:line="240" w:lineRule="auto"/>
              <w:ind w:left="0"/>
              <w:jc w:val="both"/>
              <w:rPr>
                <w:sz w:val="18"/>
              </w:rPr>
            </w:pPr>
          </w:p>
          <w:p w:rsidR="001D4DF4" w:rsidRPr="00D54026" w:rsidRDefault="001D4DF4" w:rsidP="001D4DF4">
            <w:pPr>
              <w:pStyle w:val="ListParagraph"/>
              <w:spacing w:after="0" w:line="240" w:lineRule="auto"/>
              <w:ind w:left="0"/>
              <w:jc w:val="both"/>
              <w:rPr>
                <w:sz w:val="20"/>
                <w:szCs w:val="20"/>
              </w:rPr>
            </w:pPr>
            <w:r w:rsidRPr="00D54026">
              <w:rPr>
                <w:sz w:val="20"/>
                <w:szCs w:val="20"/>
              </w:rPr>
              <w:t>Manual processes can lead to some discrepancies so the more automated the process is, the less the chance of human error.</w:t>
            </w:r>
          </w:p>
          <w:p w:rsidR="00875966" w:rsidRPr="00BD6920" w:rsidRDefault="00875966" w:rsidP="000F5823">
            <w:pPr>
              <w:pStyle w:val="ListParagraph"/>
              <w:spacing w:after="0" w:line="240" w:lineRule="auto"/>
              <w:ind w:left="0"/>
              <w:jc w:val="both"/>
              <w:rPr>
                <w:sz w:val="18"/>
              </w:rPr>
            </w:pPr>
          </w:p>
        </w:tc>
      </w:tr>
    </w:tbl>
    <w:p w:rsidR="003776A5" w:rsidRDefault="003776A5" w:rsidP="001948A7">
      <w:pPr>
        <w:jc w:val="both"/>
        <w:rPr>
          <w:b/>
        </w:rPr>
      </w:pPr>
    </w:p>
    <w:p w:rsidR="00E61206" w:rsidRDefault="00E61206" w:rsidP="001948A7">
      <w:pPr>
        <w:jc w:val="both"/>
        <w:rPr>
          <w:b/>
        </w:rPr>
      </w:pPr>
    </w:p>
    <w:p w:rsidR="003776A5" w:rsidRPr="003776A5" w:rsidRDefault="003776A5" w:rsidP="003776A5">
      <w:pPr>
        <w:pStyle w:val="ListParagraph"/>
        <w:numPr>
          <w:ilvl w:val="0"/>
          <w:numId w:val="62"/>
        </w:numPr>
        <w:ind w:left="284" w:hanging="284"/>
        <w:jc w:val="both"/>
        <w:rPr>
          <w:b/>
          <w:lang w:val="en-US"/>
        </w:rPr>
      </w:pPr>
      <w:r w:rsidRPr="003776A5">
        <w:rPr>
          <w:b/>
          <w:lang w:val="en-US"/>
        </w:rPr>
        <w:lastRenderedPageBreak/>
        <w:t xml:space="preserve">Do you think that </w:t>
      </w:r>
      <w:r w:rsidR="00E7206F">
        <w:rPr>
          <w:b/>
          <w:lang w:val="en-US"/>
        </w:rPr>
        <w:t xml:space="preserve">NCAs </w:t>
      </w:r>
      <w:r w:rsidR="001F3C65">
        <w:rPr>
          <w:b/>
          <w:lang w:val="en-US"/>
        </w:rPr>
        <w:t xml:space="preserve">currently </w:t>
      </w:r>
      <w:r w:rsidR="009569FD">
        <w:rPr>
          <w:b/>
          <w:lang w:val="en-US"/>
        </w:rPr>
        <w:t>updat</w:t>
      </w:r>
      <w:r w:rsidR="00E7206F">
        <w:rPr>
          <w:b/>
          <w:lang w:val="en-US"/>
        </w:rPr>
        <w:t>e</w:t>
      </w:r>
      <w:r w:rsidR="009569FD">
        <w:rPr>
          <w:b/>
          <w:lang w:val="en-US"/>
        </w:rPr>
        <w:t xml:space="preserve"> their </w:t>
      </w:r>
      <w:r w:rsidRPr="003776A5">
        <w:rPr>
          <w:b/>
          <w:lang w:val="en-US"/>
        </w:rPr>
        <w:t xml:space="preserve">NPRs </w:t>
      </w:r>
      <w:r w:rsidR="009569FD">
        <w:rPr>
          <w:b/>
          <w:lang w:val="en-US"/>
        </w:rPr>
        <w:t xml:space="preserve">under PSD1 </w:t>
      </w:r>
      <w:r w:rsidRPr="003776A5">
        <w:rPr>
          <w:b/>
          <w:lang w:val="en-US"/>
        </w:rPr>
        <w:t>frequently enough?</w:t>
      </w:r>
      <w:r w:rsidRPr="003776A5">
        <w:rPr>
          <w:b/>
        </w:rPr>
        <w:t xml:space="preserve"> (</w:t>
      </w:r>
      <w:r w:rsidR="00A142BB">
        <w:rPr>
          <w:b/>
        </w:rPr>
        <w:t>P</w:t>
      </w:r>
      <w:r w:rsidRPr="003776A5">
        <w:rPr>
          <w:b/>
        </w:rPr>
        <w:t>lease explain your reasoning</w:t>
      </w:r>
      <w:r w:rsidR="00A142BB">
        <w:rPr>
          <w:b/>
        </w:rPr>
        <w:t xml:space="preserve"> and indicate the respective national jurisdictions</w:t>
      </w:r>
      <w:r w:rsidR="00CC2BE4">
        <w:rPr>
          <w:b/>
        </w:rPr>
        <w:t xml:space="preserve"> that you refer to</w:t>
      </w:r>
      <w:r w:rsidR="00A142BB">
        <w:rPr>
          <w:b/>
        </w:rPr>
        <w:t>)</w:t>
      </w:r>
    </w:p>
    <w:p w:rsidR="003776A5" w:rsidRPr="003776A5" w:rsidRDefault="00EB5917" w:rsidP="003776A5">
      <w:pPr>
        <w:pStyle w:val="ListParagraph"/>
        <w:spacing w:after="0" w:line="240" w:lineRule="auto"/>
        <w:ind w:left="360"/>
        <w:jc w:val="both"/>
        <w:rPr>
          <w:rFonts w:ascii="Calibri" w:hAnsi="Calibri"/>
          <w:color w:val="000000" w:themeColor="text1"/>
        </w:rPr>
      </w:pPr>
      <w:r>
        <w:fldChar w:fldCharType="begin">
          <w:ffData>
            <w:name w:val=""/>
            <w:enabled/>
            <w:calcOnExit w:val="0"/>
            <w:checkBox>
              <w:sizeAuto/>
              <w:default w:val="1"/>
            </w:checkBox>
          </w:ffData>
        </w:fldChar>
      </w:r>
      <w:r>
        <w:instrText xml:space="preserve"> FORMCHECKBOX </w:instrText>
      </w:r>
      <w:r w:rsidR="000019DA">
        <w:fldChar w:fldCharType="separate"/>
      </w:r>
      <w:r>
        <w:fldChar w:fldCharType="end"/>
      </w:r>
      <w:r w:rsidR="003776A5" w:rsidRPr="003776A5">
        <w:rPr>
          <w:rFonts w:ascii="Calibri" w:hAnsi="Calibri"/>
          <w:color w:val="000000" w:themeColor="text1"/>
        </w:rPr>
        <w:tab/>
        <w:t>Yes</w:t>
      </w:r>
    </w:p>
    <w:p w:rsidR="003776A5" w:rsidRPr="00A321C8" w:rsidRDefault="003776A5" w:rsidP="003776A5">
      <w:pPr>
        <w:pStyle w:val="ListParagraph"/>
        <w:spacing w:after="0" w:line="240" w:lineRule="auto"/>
        <w:ind w:left="360"/>
        <w:jc w:val="both"/>
        <w:rPr>
          <w:rFonts w:ascii="Calibri" w:hAnsi="Calibri"/>
          <w:color w:val="000000" w:themeColor="text1"/>
        </w:rPr>
      </w:pPr>
      <w:r w:rsidRPr="003776A5">
        <w:fldChar w:fldCharType="begin">
          <w:ffData>
            <w:name w:val="Check1"/>
            <w:enabled/>
            <w:calcOnExit w:val="0"/>
            <w:checkBox>
              <w:sizeAuto/>
              <w:default w:val="0"/>
            </w:checkBox>
          </w:ffData>
        </w:fldChar>
      </w:r>
      <w:r w:rsidRPr="003776A5">
        <w:instrText xml:space="preserve"> FORMCHECKBOX </w:instrText>
      </w:r>
      <w:r w:rsidR="000019DA">
        <w:fldChar w:fldCharType="separate"/>
      </w:r>
      <w:r w:rsidRPr="003776A5">
        <w:fldChar w:fldCharType="end"/>
      </w:r>
      <w:r w:rsidRPr="003776A5">
        <w:rPr>
          <w:rFonts w:ascii="Calibri" w:hAnsi="Calibri"/>
          <w:color w:val="000000" w:themeColor="text1"/>
        </w:rPr>
        <w:tab/>
        <w:t>No</w:t>
      </w:r>
    </w:p>
    <w:tbl>
      <w:tblPr>
        <w:tblStyle w:val="TableGrid"/>
        <w:tblW w:w="0" w:type="auto"/>
        <w:tblInd w:w="108"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789"/>
      </w:tblGrid>
      <w:tr w:rsidR="003776A5" w:rsidRPr="00BD6920" w:rsidTr="001B1CC0">
        <w:trPr>
          <w:cnfStyle w:val="100000000000" w:firstRow="1" w:lastRow="0" w:firstColumn="0" w:lastColumn="0" w:oddVBand="0" w:evenVBand="0" w:oddHBand="0" w:evenHBand="0" w:firstRowFirstColumn="0" w:firstRowLastColumn="0" w:lastRowFirstColumn="0" w:lastRowLastColumn="0"/>
          <w:trHeight w:val="656"/>
        </w:trPr>
        <w:tc>
          <w:tcPr>
            <w:tcW w:w="87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776A5" w:rsidRPr="000019DA" w:rsidRDefault="00D54026" w:rsidP="001B1CC0">
            <w:pPr>
              <w:pStyle w:val="ListParagraph"/>
              <w:spacing w:after="0" w:line="240" w:lineRule="auto"/>
              <w:ind w:left="0"/>
              <w:jc w:val="both"/>
              <w:rPr>
                <w:sz w:val="20"/>
                <w:szCs w:val="20"/>
              </w:rPr>
            </w:pPr>
            <w:r w:rsidRPr="00D54026">
              <w:rPr>
                <w:sz w:val="20"/>
                <w:szCs w:val="20"/>
              </w:rPr>
              <w:t>Ensuring that NPRs are updated when existing agent activities are varied or changed has proved challenging on occasion as the quantity and quality of information listed on NPRs varies between Member States.</w:t>
            </w:r>
          </w:p>
          <w:p w:rsidR="003776A5" w:rsidRPr="00BD6920" w:rsidRDefault="003776A5" w:rsidP="001B1CC0">
            <w:pPr>
              <w:pStyle w:val="ListParagraph"/>
              <w:spacing w:after="0" w:line="240" w:lineRule="auto"/>
              <w:ind w:left="0"/>
              <w:jc w:val="both"/>
              <w:rPr>
                <w:sz w:val="18"/>
              </w:rPr>
            </w:pPr>
          </w:p>
        </w:tc>
      </w:tr>
    </w:tbl>
    <w:p w:rsidR="00A142BB" w:rsidRDefault="00A142BB" w:rsidP="001948A7">
      <w:pPr>
        <w:jc w:val="both"/>
        <w:rPr>
          <w:b/>
        </w:rPr>
      </w:pPr>
    </w:p>
    <w:p w:rsidR="00875966" w:rsidRPr="00875966" w:rsidRDefault="00875966" w:rsidP="00875966">
      <w:pPr>
        <w:pStyle w:val="ListParagraph"/>
        <w:numPr>
          <w:ilvl w:val="0"/>
          <w:numId w:val="62"/>
        </w:numPr>
        <w:ind w:left="284" w:hanging="284"/>
        <w:jc w:val="both"/>
        <w:rPr>
          <w:b/>
          <w:lang w:val="en-US"/>
        </w:rPr>
      </w:pPr>
      <w:r>
        <w:rPr>
          <w:b/>
        </w:rPr>
        <w:t xml:space="preserve">Please </w:t>
      </w:r>
      <w:r w:rsidRPr="001F3C65">
        <w:rPr>
          <w:b/>
        </w:rPr>
        <w:t xml:space="preserve">indicate any </w:t>
      </w:r>
      <w:r>
        <w:rPr>
          <w:b/>
        </w:rPr>
        <w:t>other experiences (positive and negative) that you have with the NPRs that have not been covered in the questions above:</w:t>
      </w:r>
    </w:p>
    <w:tbl>
      <w:tblPr>
        <w:tblStyle w:val="TableGrid"/>
        <w:tblW w:w="0" w:type="auto"/>
        <w:tblInd w:w="108"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789"/>
      </w:tblGrid>
      <w:tr w:rsidR="00875966" w:rsidRPr="00BD6920" w:rsidTr="000F5823">
        <w:trPr>
          <w:cnfStyle w:val="100000000000" w:firstRow="1" w:lastRow="0" w:firstColumn="0" w:lastColumn="0" w:oddVBand="0" w:evenVBand="0" w:oddHBand="0" w:evenHBand="0" w:firstRowFirstColumn="0" w:firstRowLastColumn="0" w:lastRowFirstColumn="0" w:lastRowLastColumn="0"/>
          <w:trHeight w:val="656"/>
        </w:trPr>
        <w:tc>
          <w:tcPr>
            <w:tcW w:w="87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966" w:rsidRDefault="00875966" w:rsidP="000F5823">
            <w:pPr>
              <w:pStyle w:val="ListParagraph"/>
              <w:spacing w:after="0" w:line="240" w:lineRule="auto"/>
              <w:ind w:left="0"/>
              <w:jc w:val="both"/>
              <w:rPr>
                <w:sz w:val="18"/>
              </w:rPr>
            </w:pPr>
          </w:p>
          <w:p w:rsidR="00875966" w:rsidRDefault="00875966" w:rsidP="000F5823">
            <w:pPr>
              <w:pStyle w:val="ListParagraph"/>
              <w:spacing w:after="0" w:line="240" w:lineRule="auto"/>
              <w:ind w:left="0"/>
              <w:jc w:val="both"/>
              <w:rPr>
                <w:sz w:val="18"/>
              </w:rPr>
            </w:pPr>
          </w:p>
          <w:p w:rsidR="00875966" w:rsidRPr="00BD6920" w:rsidRDefault="00875966" w:rsidP="000F5823">
            <w:pPr>
              <w:pStyle w:val="ListParagraph"/>
              <w:spacing w:after="0" w:line="240" w:lineRule="auto"/>
              <w:ind w:left="0"/>
              <w:jc w:val="both"/>
              <w:rPr>
                <w:sz w:val="18"/>
              </w:rPr>
            </w:pPr>
          </w:p>
        </w:tc>
      </w:tr>
    </w:tbl>
    <w:p w:rsidR="005A40A3" w:rsidRDefault="005A40A3">
      <w:pPr>
        <w:rPr>
          <w:b/>
        </w:rPr>
      </w:pPr>
    </w:p>
    <w:p w:rsidR="00C40CD7" w:rsidRPr="00781BD0" w:rsidRDefault="00C40CD7" w:rsidP="0092673F">
      <w:pPr>
        <w:pStyle w:val="Titlelevel2"/>
        <w:jc w:val="both"/>
        <w:rPr>
          <w:sz w:val="30"/>
          <w:szCs w:val="30"/>
          <w:lang w:val="en-GB"/>
        </w:rPr>
      </w:pPr>
      <w:r w:rsidRPr="00781BD0">
        <w:rPr>
          <w:sz w:val="30"/>
          <w:szCs w:val="30"/>
          <w:lang w:val="en-GB"/>
        </w:rPr>
        <w:t xml:space="preserve">Section </w:t>
      </w:r>
      <w:r w:rsidR="00E7206F">
        <w:rPr>
          <w:sz w:val="30"/>
          <w:szCs w:val="30"/>
          <w:lang w:val="en-GB"/>
        </w:rPr>
        <w:t>2</w:t>
      </w:r>
      <w:r w:rsidRPr="00781BD0">
        <w:rPr>
          <w:sz w:val="30"/>
          <w:szCs w:val="30"/>
          <w:lang w:val="en-GB"/>
        </w:rPr>
        <w:t xml:space="preserve"> – </w:t>
      </w:r>
      <w:r w:rsidR="008F11BF" w:rsidRPr="00781BD0">
        <w:rPr>
          <w:sz w:val="30"/>
          <w:szCs w:val="30"/>
          <w:lang w:val="en-GB"/>
        </w:rPr>
        <w:t>EBA</w:t>
      </w:r>
      <w:r w:rsidR="00FA1229" w:rsidRPr="00781BD0">
        <w:rPr>
          <w:sz w:val="30"/>
          <w:szCs w:val="30"/>
          <w:lang w:val="en-GB"/>
        </w:rPr>
        <w:t>’s</w:t>
      </w:r>
      <w:r w:rsidR="008F11BF" w:rsidRPr="00781BD0">
        <w:rPr>
          <w:sz w:val="30"/>
          <w:szCs w:val="30"/>
          <w:lang w:val="en-GB"/>
        </w:rPr>
        <w:t xml:space="preserve"> Electronic Central Register under Article 15 of PSD2</w:t>
      </w:r>
    </w:p>
    <w:p w:rsidR="002650B4" w:rsidRPr="00E7206F" w:rsidRDefault="002650B4" w:rsidP="002650B4">
      <w:pPr>
        <w:pStyle w:val="ListParagraph"/>
        <w:numPr>
          <w:ilvl w:val="0"/>
          <w:numId w:val="62"/>
        </w:numPr>
        <w:ind w:left="284" w:hanging="284"/>
        <w:jc w:val="both"/>
        <w:rPr>
          <w:b/>
          <w:lang w:val="en-US"/>
        </w:rPr>
      </w:pPr>
      <w:r>
        <w:rPr>
          <w:b/>
        </w:rPr>
        <w:t xml:space="preserve">What </w:t>
      </w:r>
      <w:r w:rsidRPr="00A321C8">
        <w:rPr>
          <w:b/>
        </w:rPr>
        <w:t xml:space="preserve">are in your opinion the benefits </w:t>
      </w:r>
      <w:r>
        <w:rPr>
          <w:b/>
        </w:rPr>
        <w:t xml:space="preserve">to payment service users </w:t>
      </w:r>
      <w:r w:rsidRPr="00A321C8">
        <w:rPr>
          <w:b/>
        </w:rPr>
        <w:t>of having a central electronic register operated and maintained by the EBA?</w:t>
      </w:r>
    </w:p>
    <w:tbl>
      <w:tblPr>
        <w:tblStyle w:val="TableGrid"/>
        <w:tblW w:w="0" w:type="auto"/>
        <w:tblInd w:w="108"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851"/>
      </w:tblGrid>
      <w:tr w:rsidR="002650B4" w:rsidRPr="00BD6920" w:rsidTr="000F5823">
        <w:trPr>
          <w:cnfStyle w:val="100000000000" w:firstRow="1" w:lastRow="0" w:firstColumn="0" w:lastColumn="0" w:oddVBand="0" w:evenVBand="0" w:oddHBand="0" w:evenHBand="0" w:firstRowFirstColumn="0" w:firstRowLastColumn="0" w:lastRowFirstColumn="0" w:lastRowLastColumn="0"/>
          <w:trHeight w:val="297"/>
        </w:trPr>
        <w:tc>
          <w:tcPr>
            <w:tcW w:w="8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650B4" w:rsidRDefault="00D54026" w:rsidP="000F5823">
            <w:pPr>
              <w:pStyle w:val="ListParagraph"/>
              <w:spacing w:after="0" w:line="240" w:lineRule="auto"/>
              <w:ind w:left="0"/>
              <w:jc w:val="both"/>
              <w:rPr>
                <w:sz w:val="20"/>
                <w:szCs w:val="20"/>
              </w:rPr>
            </w:pPr>
            <w:r>
              <w:rPr>
                <w:sz w:val="20"/>
                <w:szCs w:val="20"/>
                <w:lang w:val="en-US"/>
              </w:rPr>
              <w:t>It would facilitate t</w:t>
            </w:r>
            <w:r w:rsidR="00D341CF" w:rsidRPr="00D54026">
              <w:rPr>
                <w:sz w:val="20"/>
                <w:szCs w:val="20"/>
              </w:rPr>
              <w:t>he ability for individual Payment Service Users (PSUs) to verify the eligibility of the PSP they wish to engage with, and to access a central source of information for all PSPs operating in the EU where they can find important data such as contact information, licensing status and which Competent Authority to contact in case of issues.</w:t>
            </w:r>
          </w:p>
          <w:p w:rsidR="00D54026" w:rsidRPr="00D54026" w:rsidRDefault="00D54026" w:rsidP="000F5823">
            <w:pPr>
              <w:pStyle w:val="ListParagraph"/>
              <w:spacing w:after="0" w:line="240" w:lineRule="auto"/>
              <w:ind w:left="0"/>
              <w:jc w:val="both"/>
              <w:rPr>
                <w:sz w:val="20"/>
                <w:szCs w:val="20"/>
              </w:rPr>
            </w:pPr>
          </w:p>
          <w:p w:rsidR="001D4DF4" w:rsidRPr="00D54026" w:rsidRDefault="00D54026" w:rsidP="000F5823">
            <w:pPr>
              <w:pStyle w:val="ListParagraph"/>
              <w:spacing w:after="0" w:line="240" w:lineRule="auto"/>
              <w:ind w:left="0"/>
              <w:jc w:val="both"/>
              <w:rPr>
                <w:sz w:val="20"/>
                <w:szCs w:val="20"/>
                <w:lang w:val="en-US"/>
              </w:rPr>
            </w:pPr>
            <w:r>
              <w:rPr>
                <w:sz w:val="20"/>
                <w:szCs w:val="20"/>
                <w:lang w:val="en-US"/>
              </w:rPr>
              <w:t>It would</w:t>
            </w:r>
            <w:r w:rsidR="001D4DF4" w:rsidRPr="00D54026">
              <w:rPr>
                <w:sz w:val="20"/>
                <w:szCs w:val="20"/>
                <w:lang w:val="en-US"/>
              </w:rPr>
              <w:t xml:space="preserve"> also</w:t>
            </w:r>
            <w:r>
              <w:rPr>
                <w:sz w:val="20"/>
                <w:szCs w:val="20"/>
                <w:lang w:val="en-US"/>
              </w:rPr>
              <w:t xml:space="preserve"> be</w:t>
            </w:r>
            <w:r w:rsidR="001D4DF4" w:rsidRPr="00D54026">
              <w:rPr>
                <w:sz w:val="20"/>
                <w:szCs w:val="20"/>
                <w:lang w:val="en-US"/>
              </w:rPr>
              <w:t xml:space="preserve"> a pre-requisite for the functioning of the payments API economy, as it is the basis for a TPP to check the credentials of the ASPSP and vice-versa, thereby enabling more competition.</w:t>
            </w:r>
          </w:p>
          <w:p w:rsidR="001D4DF4" w:rsidRPr="00D54026" w:rsidRDefault="001D4DF4" w:rsidP="000F5823">
            <w:pPr>
              <w:pStyle w:val="ListParagraph"/>
              <w:spacing w:after="0" w:line="240" w:lineRule="auto"/>
              <w:ind w:left="0"/>
              <w:jc w:val="both"/>
              <w:rPr>
                <w:sz w:val="20"/>
                <w:szCs w:val="20"/>
              </w:rPr>
            </w:pPr>
          </w:p>
          <w:p w:rsidR="00BF21D4" w:rsidRPr="000019DA" w:rsidRDefault="00E61206" w:rsidP="000F5823">
            <w:pPr>
              <w:pStyle w:val="ListParagraph"/>
              <w:spacing w:after="0" w:line="240" w:lineRule="auto"/>
              <w:ind w:left="0"/>
              <w:jc w:val="both"/>
              <w:rPr>
                <w:sz w:val="20"/>
                <w:szCs w:val="20"/>
                <w:lang w:val="en-US"/>
              </w:rPr>
            </w:pPr>
            <w:r w:rsidRPr="00D54026">
              <w:rPr>
                <w:sz w:val="20"/>
                <w:szCs w:val="20"/>
                <w:lang w:val="en-US"/>
              </w:rPr>
              <w:t>A central electronic register would be advantageous to payment service users as it would provide an overview of all payment service providers in all EU/EEA countries by opening just one webpage, this in turn would be advantageous for our customers and may also increase competition amongst payment service providers.</w:t>
            </w:r>
          </w:p>
          <w:p w:rsidR="002650B4" w:rsidRPr="00BD6920" w:rsidRDefault="002650B4" w:rsidP="000F5823">
            <w:pPr>
              <w:pStyle w:val="ListParagraph"/>
              <w:spacing w:after="0" w:line="240" w:lineRule="auto"/>
              <w:ind w:left="0"/>
              <w:jc w:val="both"/>
              <w:rPr>
                <w:sz w:val="18"/>
              </w:rPr>
            </w:pPr>
          </w:p>
        </w:tc>
      </w:tr>
    </w:tbl>
    <w:p w:rsidR="002650B4" w:rsidRDefault="002650B4" w:rsidP="002650B4">
      <w:pPr>
        <w:pStyle w:val="numberedparagraph"/>
        <w:numPr>
          <w:ilvl w:val="0"/>
          <w:numId w:val="0"/>
        </w:numPr>
        <w:spacing w:before="0" w:after="0" w:line="240" w:lineRule="auto"/>
        <w:rPr>
          <w:b/>
        </w:rPr>
      </w:pPr>
    </w:p>
    <w:p w:rsidR="002650B4" w:rsidRPr="00E7206F" w:rsidRDefault="002650B4" w:rsidP="002650B4">
      <w:pPr>
        <w:pStyle w:val="ListParagraph"/>
        <w:numPr>
          <w:ilvl w:val="0"/>
          <w:numId w:val="62"/>
        </w:numPr>
        <w:ind w:left="284" w:hanging="284"/>
        <w:jc w:val="both"/>
        <w:rPr>
          <w:b/>
          <w:lang w:val="en-US"/>
        </w:rPr>
      </w:pPr>
      <w:r>
        <w:rPr>
          <w:b/>
        </w:rPr>
        <w:t xml:space="preserve">What </w:t>
      </w:r>
      <w:r w:rsidRPr="00A321C8">
        <w:rPr>
          <w:b/>
        </w:rPr>
        <w:t xml:space="preserve">are in your opinion the benefits </w:t>
      </w:r>
      <w:r>
        <w:rPr>
          <w:b/>
        </w:rPr>
        <w:t xml:space="preserve">to non-bank payment service providers </w:t>
      </w:r>
      <w:r w:rsidRPr="00A321C8">
        <w:rPr>
          <w:b/>
        </w:rPr>
        <w:t>of having a central electronic register operated and maintained by the EBA?</w:t>
      </w:r>
    </w:p>
    <w:tbl>
      <w:tblPr>
        <w:tblStyle w:val="TableGrid"/>
        <w:tblW w:w="0" w:type="auto"/>
        <w:tblInd w:w="108"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851"/>
      </w:tblGrid>
      <w:tr w:rsidR="002650B4" w:rsidRPr="00BD6920" w:rsidTr="000F5823">
        <w:trPr>
          <w:cnfStyle w:val="100000000000" w:firstRow="1" w:lastRow="0" w:firstColumn="0" w:lastColumn="0" w:oddVBand="0" w:evenVBand="0" w:oddHBand="0" w:evenHBand="0" w:firstRowFirstColumn="0" w:firstRowLastColumn="0" w:lastRowFirstColumn="0" w:lastRowLastColumn="0"/>
          <w:trHeight w:val="297"/>
        </w:trPr>
        <w:tc>
          <w:tcPr>
            <w:tcW w:w="8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650B4" w:rsidRDefault="002650B4" w:rsidP="000F5823">
            <w:pPr>
              <w:pStyle w:val="ListParagraph"/>
              <w:spacing w:after="0" w:line="240" w:lineRule="auto"/>
              <w:ind w:left="0"/>
              <w:jc w:val="both"/>
              <w:rPr>
                <w:sz w:val="18"/>
              </w:rPr>
            </w:pPr>
          </w:p>
          <w:p w:rsidR="002650B4" w:rsidRPr="00D54026" w:rsidRDefault="00D341CF" w:rsidP="000F5823">
            <w:pPr>
              <w:pStyle w:val="ListParagraph"/>
              <w:spacing w:after="0" w:line="240" w:lineRule="auto"/>
              <w:ind w:left="0"/>
              <w:jc w:val="both"/>
              <w:rPr>
                <w:sz w:val="20"/>
                <w:szCs w:val="20"/>
              </w:rPr>
            </w:pPr>
            <w:r w:rsidRPr="00D54026">
              <w:rPr>
                <w:sz w:val="20"/>
                <w:szCs w:val="20"/>
              </w:rPr>
              <w:t>For a non-bank, the Register provides clear and defined rules, and visibility thereof, to participate in the Payments world, leading to legal certainty that the ASPSP will, upon verification with the Register, allow them access to their interface.</w:t>
            </w:r>
          </w:p>
          <w:p w:rsidR="00E61206" w:rsidRPr="00D54026" w:rsidRDefault="00E61206" w:rsidP="000F5823">
            <w:pPr>
              <w:pStyle w:val="ListParagraph"/>
              <w:spacing w:after="0" w:line="240" w:lineRule="auto"/>
              <w:ind w:left="0"/>
              <w:jc w:val="both"/>
              <w:rPr>
                <w:sz w:val="20"/>
                <w:szCs w:val="20"/>
              </w:rPr>
            </w:pPr>
          </w:p>
          <w:p w:rsidR="00E61206" w:rsidRPr="00D54026" w:rsidRDefault="00E61206" w:rsidP="00E61206">
            <w:pPr>
              <w:jc w:val="both"/>
              <w:rPr>
                <w:sz w:val="20"/>
              </w:rPr>
            </w:pPr>
            <w:r w:rsidRPr="00D54026">
              <w:rPr>
                <w:sz w:val="20"/>
              </w:rPr>
              <w:t>A central electronic register would optimize the communication with a single authority.</w:t>
            </w:r>
          </w:p>
          <w:p w:rsidR="00E61206" w:rsidRPr="00D54026" w:rsidRDefault="00E61206" w:rsidP="00E61206">
            <w:pPr>
              <w:pStyle w:val="ListParagraph"/>
              <w:spacing w:after="0" w:line="240" w:lineRule="auto"/>
              <w:ind w:left="0"/>
              <w:jc w:val="both"/>
              <w:rPr>
                <w:sz w:val="20"/>
                <w:szCs w:val="20"/>
              </w:rPr>
            </w:pPr>
            <w:r w:rsidRPr="00D54026">
              <w:rPr>
                <w:sz w:val="20"/>
                <w:szCs w:val="20"/>
              </w:rPr>
              <w:t xml:space="preserve"> It would be a single tool to verify inconsistencies and assist in the maintenance in the validation process of payment licenses including certain revocation steps, as any modifications would  only be undertaken by NCAs and the EBA</w:t>
            </w:r>
          </w:p>
          <w:p w:rsidR="001D4DF4" w:rsidRPr="00D54026" w:rsidRDefault="001D4DF4" w:rsidP="00E61206">
            <w:pPr>
              <w:pStyle w:val="ListParagraph"/>
              <w:spacing w:after="0" w:line="240" w:lineRule="auto"/>
              <w:ind w:left="0"/>
              <w:jc w:val="both"/>
              <w:rPr>
                <w:sz w:val="20"/>
                <w:szCs w:val="20"/>
              </w:rPr>
            </w:pPr>
          </w:p>
          <w:p w:rsidR="001D4DF4" w:rsidRPr="000019DA" w:rsidRDefault="001D4DF4" w:rsidP="000019DA">
            <w:pPr>
              <w:jc w:val="both"/>
              <w:rPr>
                <w:sz w:val="20"/>
              </w:rPr>
            </w:pPr>
            <w:r w:rsidRPr="00D54026">
              <w:rPr>
                <w:sz w:val="20"/>
              </w:rPr>
              <w:t>In addition, it is a critical building block in the ability of TPPs (PISPS and AISPs) to verify the identity of ASPSPs, and vice-versa.</w:t>
            </w:r>
          </w:p>
          <w:p w:rsidR="002650B4" w:rsidRPr="00BD6920" w:rsidRDefault="002650B4" w:rsidP="000F5823">
            <w:pPr>
              <w:pStyle w:val="ListParagraph"/>
              <w:spacing w:after="0" w:line="240" w:lineRule="auto"/>
              <w:ind w:left="0"/>
              <w:jc w:val="both"/>
              <w:rPr>
                <w:sz w:val="18"/>
              </w:rPr>
            </w:pPr>
          </w:p>
        </w:tc>
      </w:tr>
    </w:tbl>
    <w:p w:rsidR="002650B4" w:rsidRDefault="002650B4" w:rsidP="002650B4">
      <w:pPr>
        <w:pStyle w:val="numberedparagraph"/>
        <w:numPr>
          <w:ilvl w:val="0"/>
          <w:numId w:val="0"/>
        </w:numPr>
        <w:spacing w:before="0" w:after="0" w:line="240" w:lineRule="auto"/>
        <w:rPr>
          <w:b/>
        </w:rPr>
      </w:pPr>
    </w:p>
    <w:p w:rsidR="002650B4" w:rsidRPr="00E7206F" w:rsidRDefault="002650B4" w:rsidP="002650B4">
      <w:pPr>
        <w:pStyle w:val="ListParagraph"/>
        <w:numPr>
          <w:ilvl w:val="0"/>
          <w:numId w:val="62"/>
        </w:numPr>
        <w:ind w:left="284" w:hanging="284"/>
        <w:jc w:val="both"/>
        <w:rPr>
          <w:b/>
          <w:lang w:val="en-US"/>
        </w:rPr>
      </w:pPr>
      <w:r>
        <w:rPr>
          <w:b/>
        </w:rPr>
        <w:t>Please indicate the functionalities that you would like to see in the EBA’s Register under PSD2 (search criteria, display features and other):</w:t>
      </w:r>
    </w:p>
    <w:tbl>
      <w:tblPr>
        <w:tblStyle w:val="TableGrid"/>
        <w:tblW w:w="0" w:type="auto"/>
        <w:tblInd w:w="108"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851"/>
      </w:tblGrid>
      <w:tr w:rsidR="002650B4" w:rsidRPr="00BD6920" w:rsidTr="000F5823">
        <w:trPr>
          <w:cnfStyle w:val="100000000000" w:firstRow="1" w:lastRow="0" w:firstColumn="0" w:lastColumn="0" w:oddVBand="0" w:evenVBand="0" w:oddHBand="0" w:evenHBand="0" w:firstRowFirstColumn="0" w:firstRowLastColumn="0" w:lastRowFirstColumn="0" w:lastRowLastColumn="0"/>
          <w:trHeight w:val="297"/>
        </w:trPr>
        <w:tc>
          <w:tcPr>
            <w:tcW w:w="8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650B4" w:rsidRDefault="002650B4" w:rsidP="000F5823">
            <w:pPr>
              <w:pStyle w:val="ListParagraph"/>
              <w:spacing w:after="0" w:line="240" w:lineRule="auto"/>
              <w:ind w:left="0"/>
              <w:jc w:val="both"/>
              <w:rPr>
                <w:sz w:val="18"/>
              </w:rPr>
            </w:pPr>
          </w:p>
          <w:p w:rsidR="00D341CF" w:rsidRPr="00D54026" w:rsidRDefault="00D341CF" w:rsidP="00D341CF">
            <w:pPr>
              <w:jc w:val="both"/>
              <w:rPr>
                <w:sz w:val="20"/>
              </w:rPr>
            </w:pPr>
            <w:r w:rsidRPr="00D54026">
              <w:rPr>
                <w:sz w:val="20"/>
                <w:lang w:val="en-US"/>
              </w:rPr>
              <w:t>From a PSU’s perspective, the Register should provide easy access to all the information contained in a licensed PSP’s Registry information (e.g. company ID, person legally responsible, license status, Member State of authorization, contact information for the PSP and for the Competent Authority etc.).</w:t>
            </w:r>
          </w:p>
          <w:p w:rsidR="002650B4" w:rsidRPr="00D54026" w:rsidRDefault="00D341CF" w:rsidP="000F5823">
            <w:pPr>
              <w:pStyle w:val="ListParagraph"/>
              <w:spacing w:after="0" w:line="240" w:lineRule="auto"/>
              <w:ind w:left="0"/>
              <w:jc w:val="both"/>
              <w:rPr>
                <w:sz w:val="20"/>
                <w:szCs w:val="20"/>
              </w:rPr>
            </w:pPr>
            <w:r w:rsidRPr="00D54026">
              <w:rPr>
                <w:sz w:val="20"/>
                <w:szCs w:val="20"/>
                <w:lang w:val="en-US"/>
              </w:rPr>
              <w:t>From a Payment Institution’s (PI) perspective, the Register should provide a</w:t>
            </w:r>
            <w:r w:rsidRPr="00D54026">
              <w:rPr>
                <w:sz w:val="20"/>
                <w:szCs w:val="20"/>
                <w:lang w:val="de-DE"/>
              </w:rPr>
              <w:t xml:space="preserve">n </w:t>
            </w:r>
            <w:r w:rsidRPr="00D54026">
              <w:rPr>
                <w:sz w:val="20"/>
                <w:szCs w:val="20"/>
              </w:rPr>
              <w:t xml:space="preserve">electronic interface, based on Industry Standard APIs, providing capabilities for real-time partner verifications – this includes comprehensive data about the TPP </w:t>
            </w:r>
            <w:r w:rsidRPr="00D54026">
              <w:rPr>
                <w:sz w:val="20"/>
                <w:szCs w:val="20"/>
                <w:lang w:val="en-US"/>
              </w:rPr>
              <w:t xml:space="preserve">(i.e. full set of Registry information, including </w:t>
            </w:r>
            <w:r w:rsidRPr="00D54026">
              <w:rPr>
                <w:sz w:val="20"/>
                <w:szCs w:val="20"/>
              </w:rPr>
              <w:t>whether their authorisation has been withdrawn, etc.), as well as access to time optimization measures (e.g. geographic replication).</w:t>
            </w:r>
          </w:p>
          <w:p w:rsidR="00E61206" w:rsidRPr="00D54026" w:rsidRDefault="00E61206" w:rsidP="000F5823">
            <w:pPr>
              <w:pStyle w:val="ListParagraph"/>
              <w:spacing w:after="0" w:line="240" w:lineRule="auto"/>
              <w:ind w:left="0"/>
              <w:jc w:val="both"/>
              <w:rPr>
                <w:sz w:val="20"/>
                <w:szCs w:val="20"/>
              </w:rPr>
            </w:pPr>
          </w:p>
          <w:p w:rsidR="00E61206" w:rsidRPr="00D54026" w:rsidRDefault="00E61206" w:rsidP="00E61206">
            <w:pPr>
              <w:pStyle w:val="ListParagraph"/>
              <w:spacing w:after="0" w:line="240" w:lineRule="auto"/>
              <w:ind w:left="0"/>
              <w:jc w:val="both"/>
              <w:rPr>
                <w:sz w:val="20"/>
                <w:szCs w:val="20"/>
              </w:rPr>
            </w:pPr>
            <w:r w:rsidRPr="00D54026">
              <w:rPr>
                <w:sz w:val="20"/>
                <w:szCs w:val="20"/>
              </w:rPr>
              <w:t>We would appreciate consideration for the inclusion of the following functionality:</w:t>
            </w:r>
          </w:p>
          <w:p w:rsidR="00E61206" w:rsidRPr="00D54026" w:rsidRDefault="00E61206" w:rsidP="00D54026">
            <w:pPr>
              <w:pStyle w:val="ListParagraph"/>
              <w:numPr>
                <w:ilvl w:val="0"/>
                <w:numId w:val="66"/>
              </w:numPr>
              <w:spacing w:after="0" w:line="240" w:lineRule="auto"/>
              <w:jc w:val="both"/>
              <w:rPr>
                <w:sz w:val="20"/>
                <w:szCs w:val="20"/>
              </w:rPr>
            </w:pPr>
            <w:r w:rsidRPr="00D54026">
              <w:rPr>
                <w:sz w:val="20"/>
                <w:szCs w:val="20"/>
              </w:rPr>
              <w:t xml:space="preserve">Extract reports in Microsoft Excel format, </w:t>
            </w:r>
          </w:p>
          <w:p w:rsidR="00E61206" w:rsidRPr="00D54026" w:rsidRDefault="00E61206" w:rsidP="00E61206">
            <w:pPr>
              <w:pStyle w:val="ListParagraph"/>
              <w:numPr>
                <w:ilvl w:val="0"/>
                <w:numId w:val="66"/>
              </w:numPr>
              <w:spacing w:after="0" w:line="240" w:lineRule="auto"/>
              <w:jc w:val="both"/>
              <w:rPr>
                <w:sz w:val="20"/>
                <w:szCs w:val="20"/>
              </w:rPr>
            </w:pPr>
            <w:r w:rsidRPr="00D54026">
              <w:rPr>
                <w:sz w:val="20"/>
                <w:szCs w:val="20"/>
              </w:rPr>
              <w:t>Full set of legal and trading registry information (including active and operating locations)</w:t>
            </w:r>
            <w:r w:rsidR="00D54026">
              <w:rPr>
                <w:sz w:val="20"/>
                <w:szCs w:val="20"/>
              </w:rPr>
              <w:t>,</w:t>
            </w:r>
          </w:p>
          <w:p w:rsidR="00E61206" w:rsidRPr="00D54026" w:rsidRDefault="00E61206" w:rsidP="001D4DF4">
            <w:pPr>
              <w:pStyle w:val="ListParagraph"/>
              <w:numPr>
                <w:ilvl w:val="0"/>
                <w:numId w:val="66"/>
              </w:numPr>
              <w:spacing w:after="0" w:line="240" w:lineRule="auto"/>
              <w:jc w:val="both"/>
              <w:rPr>
                <w:sz w:val="20"/>
                <w:szCs w:val="20"/>
              </w:rPr>
            </w:pPr>
            <w:r w:rsidRPr="00D54026">
              <w:rPr>
                <w:sz w:val="20"/>
                <w:szCs w:val="20"/>
              </w:rPr>
              <w:t>Search criteria to also include Company ID, Inclusion of a facility to identify</w:t>
            </w:r>
            <w:r w:rsidR="001D4DF4" w:rsidRPr="00D54026">
              <w:rPr>
                <w:sz w:val="20"/>
                <w:szCs w:val="20"/>
              </w:rPr>
              <w:t xml:space="preserve"> list of active agents and</w:t>
            </w:r>
            <w:r w:rsidRPr="00D54026">
              <w:rPr>
                <w:sz w:val="20"/>
                <w:szCs w:val="20"/>
              </w:rPr>
              <w:t xml:space="preserve"> agents whose authorisation has been withdrawn</w:t>
            </w:r>
            <w:r w:rsidR="00D54026">
              <w:rPr>
                <w:sz w:val="20"/>
                <w:szCs w:val="20"/>
              </w:rPr>
              <w:t>,</w:t>
            </w:r>
          </w:p>
          <w:p w:rsidR="001D4DF4" w:rsidRPr="00D54026" w:rsidRDefault="001D4DF4" w:rsidP="001D4DF4">
            <w:pPr>
              <w:pStyle w:val="ListParagraph"/>
              <w:numPr>
                <w:ilvl w:val="0"/>
                <w:numId w:val="66"/>
              </w:numPr>
              <w:spacing w:after="0" w:line="240" w:lineRule="auto"/>
              <w:jc w:val="both"/>
              <w:rPr>
                <w:sz w:val="20"/>
                <w:szCs w:val="20"/>
              </w:rPr>
            </w:pPr>
            <w:r w:rsidRPr="00D54026">
              <w:rPr>
                <w:sz w:val="20"/>
                <w:szCs w:val="20"/>
              </w:rPr>
              <w:t>Comprehensive information provision</w:t>
            </w:r>
            <w:r w:rsidR="00D54026">
              <w:rPr>
                <w:sz w:val="20"/>
                <w:szCs w:val="20"/>
              </w:rPr>
              <w:t>, and</w:t>
            </w:r>
          </w:p>
          <w:p w:rsidR="001D4DF4" w:rsidRPr="00D54026" w:rsidRDefault="001D4DF4" w:rsidP="001D4DF4">
            <w:pPr>
              <w:pStyle w:val="ListParagraph"/>
              <w:numPr>
                <w:ilvl w:val="0"/>
                <w:numId w:val="66"/>
              </w:numPr>
              <w:spacing w:after="0" w:line="240" w:lineRule="auto"/>
              <w:jc w:val="both"/>
              <w:rPr>
                <w:sz w:val="20"/>
                <w:szCs w:val="20"/>
              </w:rPr>
            </w:pPr>
            <w:r w:rsidRPr="00D54026">
              <w:rPr>
                <w:sz w:val="20"/>
                <w:szCs w:val="20"/>
              </w:rPr>
              <w:t>Facilitation of identity token provision following authentication of a regulated PSP</w:t>
            </w:r>
            <w:r w:rsidR="00D54026">
              <w:rPr>
                <w:sz w:val="20"/>
                <w:szCs w:val="20"/>
              </w:rPr>
              <w:t>.</w:t>
            </w:r>
          </w:p>
          <w:p w:rsidR="001D4DF4" w:rsidRPr="003967A5" w:rsidRDefault="001D4DF4" w:rsidP="00224C91">
            <w:pPr>
              <w:pStyle w:val="ListParagraph"/>
              <w:spacing w:after="0" w:line="240" w:lineRule="auto"/>
              <w:jc w:val="both"/>
            </w:pPr>
          </w:p>
          <w:p w:rsidR="00E61206" w:rsidRPr="00BD6920" w:rsidRDefault="00E61206" w:rsidP="000F5823">
            <w:pPr>
              <w:pStyle w:val="ListParagraph"/>
              <w:spacing w:after="0" w:line="240" w:lineRule="auto"/>
              <w:ind w:left="0"/>
              <w:jc w:val="both"/>
              <w:rPr>
                <w:sz w:val="18"/>
              </w:rPr>
            </w:pPr>
          </w:p>
        </w:tc>
      </w:tr>
    </w:tbl>
    <w:p w:rsidR="002650B4" w:rsidRPr="002650B4" w:rsidRDefault="002650B4" w:rsidP="002650B4">
      <w:pPr>
        <w:jc w:val="both"/>
        <w:rPr>
          <w:b/>
        </w:rPr>
      </w:pPr>
    </w:p>
    <w:p w:rsidR="00AC4F5B" w:rsidRPr="00CC2BE4" w:rsidRDefault="00E7206F" w:rsidP="00E7206F">
      <w:pPr>
        <w:pStyle w:val="ListParagraph"/>
        <w:numPr>
          <w:ilvl w:val="0"/>
          <w:numId w:val="62"/>
        </w:numPr>
        <w:ind w:left="284" w:hanging="284"/>
        <w:jc w:val="both"/>
        <w:rPr>
          <w:b/>
        </w:rPr>
      </w:pPr>
      <w:r w:rsidRPr="00CC2BE4">
        <w:rPr>
          <w:b/>
          <w:lang w:val="en-US"/>
        </w:rPr>
        <w:t xml:space="preserve">Please </w:t>
      </w:r>
      <w:r w:rsidR="00AC4F5B" w:rsidRPr="00CC2BE4">
        <w:rPr>
          <w:b/>
        </w:rPr>
        <w:t>provide what type of information do you consider relevant to be contained in the EBA’s electronic central register for each of the following type</w:t>
      </w:r>
      <w:r w:rsidR="00613131" w:rsidRPr="00CC2BE4">
        <w:rPr>
          <w:b/>
        </w:rPr>
        <w:t>s</w:t>
      </w:r>
      <w:r w:rsidR="00AC4F5B" w:rsidRPr="00CC2BE4">
        <w:rPr>
          <w:b/>
        </w:rPr>
        <w:t xml:space="preserve"> of </w:t>
      </w:r>
      <w:r w:rsidR="00781BD0" w:rsidRPr="00CC2BE4">
        <w:rPr>
          <w:b/>
        </w:rPr>
        <w:t xml:space="preserve">authorised </w:t>
      </w:r>
      <w:r w:rsidR="00AC4F5B" w:rsidRPr="00CC2BE4">
        <w:rPr>
          <w:b/>
        </w:rPr>
        <w:t xml:space="preserve">institutions, </w:t>
      </w:r>
      <w:r w:rsidR="00781BD0" w:rsidRPr="00CC2BE4">
        <w:rPr>
          <w:b/>
        </w:rPr>
        <w:t xml:space="preserve">registered </w:t>
      </w:r>
      <w:r w:rsidR="00AC4F5B" w:rsidRPr="00CC2BE4">
        <w:rPr>
          <w:b/>
        </w:rPr>
        <w:t>natural and legal persons:</w:t>
      </w:r>
    </w:p>
    <w:p w:rsidR="00AC4F5B" w:rsidRPr="00CC2BE4" w:rsidRDefault="00E7206F" w:rsidP="00C253AC">
      <w:pPr>
        <w:pStyle w:val="ListParagraph"/>
        <w:spacing w:after="0" w:line="240" w:lineRule="auto"/>
        <w:ind w:left="360"/>
        <w:jc w:val="both"/>
        <w:rPr>
          <w:rFonts w:ascii="Calibri" w:hAnsi="Calibri"/>
          <w:color w:val="000000" w:themeColor="text1"/>
        </w:rPr>
      </w:pPr>
      <w:r w:rsidRPr="00CC2BE4">
        <w:rPr>
          <w:rFonts w:ascii="Calibri" w:hAnsi="Calibri"/>
          <w:color w:val="000000" w:themeColor="text1"/>
        </w:rPr>
        <w:t>8</w:t>
      </w:r>
      <w:r w:rsidR="00AC4F5B" w:rsidRPr="00CC2BE4">
        <w:rPr>
          <w:rFonts w:ascii="Calibri" w:hAnsi="Calibri"/>
          <w:color w:val="000000" w:themeColor="text1"/>
        </w:rPr>
        <w:t>.1. Payment institutions</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AC4F5B" w:rsidRPr="00CC2BE4"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C4F5B" w:rsidRPr="00D54026" w:rsidRDefault="001D4DF4" w:rsidP="00C253AC">
            <w:pPr>
              <w:pStyle w:val="ListParagraph"/>
              <w:spacing w:after="0" w:line="240" w:lineRule="auto"/>
              <w:ind w:left="0"/>
              <w:jc w:val="both"/>
              <w:rPr>
                <w:sz w:val="20"/>
                <w:szCs w:val="20"/>
              </w:rPr>
            </w:pPr>
            <w:r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96051F" w:rsidRDefault="0096051F" w:rsidP="00C253AC">
            <w:pPr>
              <w:pStyle w:val="ListParagraph"/>
              <w:spacing w:after="0" w:line="240" w:lineRule="auto"/>
              <w:ind w:left="0"/>
              <w:jc w:val="both"/>
            </w:pPr>
          </w:p>
          <w:p w:rsidR="0096051F" w:rsidRPr="00D54026" w:rsidRDefault="00D54026" w:rsidP="00C253AC">
            <w:pPr>
              <w:pStyle w:val="ListParagraph"/>
              <w:spacing w:after="0" w:line="240" w:lineRule="auto"/>
              <w:ind w:left="0"/>
              <w:jc w:val="both"/>
              <w:rPr>
                <w:sz w:val="20"/>
                <w:szCs w:val="20"/>
              </w:rPr>
            </w:pPr>
            <w:r w:rsidRPr="00D54026">
              <w:rPr>
                <w:sz w:val="20"/>
                <w:szCs w:val="20"/>
              </w:rPr>
              <w:t>For Payment institutions specifically this should also include</w:t>
            </w:r>
            <w:r w:rsidR="000019DA">
              <w:rPr>
                <w:sz w:val="20"/>
                <w:szCs w:val="20"/>
              </w:rPr>
              <w:t>:</w:t>
            </w:r>
          </w:p>
          <w:p w:rsidR="0096051F" w:rsidRPr="00D54026" w:rsidRDefault="0096051F" w:rsidP="00C253AC">
            <w:pPr>
              <w:pStyle w:val="ListParagraph"/>
              <w:spacing w:after="0" w:line="240" w:lineRule="auto"/>
              <w:ind w:left="0"/>
              <w:jc w:val="both"/>
              <w:rPr>
                <w:sz w:val="20"/>
                <w:szCs w:val="20"/>
              </w:rPr>
            </w:pPr>
          </w:p>
          <w:p w:rsidR="0096051F" w:rsidRPr="00D54026" w:rsidRDefault="0096051F" w:rsidP="0096051F">
            <w:pPr>
              <w:pStyle w:val="ListParagraph"/>
              <w:numPr>
                <w:ilvl w:val="0"/>
                <w:numId w:val="64"/>
              </w:numPr>
              <w:spacing w:after="0" w:line="240" w:lineRule="auto"/>
              <w:contextualSpacing w:val="0"/>
              <w:jc w:val="both"/>
              <w:rPr>
                <w:sz w:val="20"/>
                <w:szCs w:val="20"/>
              </w:rPr>
            </w:pPr>
            <w:r w:rsidRPr="00D54026">
              <w:rPr>
                <w:sz w:val="20"/>
                <w:szCs w:val="20"/>
              </w:rPr>
              <w:t>API endpoints and documentation</w:t>
            </w:r>
          </w:p>
          <w:p w:rsidR="0096051F" w:rsidRPr="00D54026" w:rsidRDefault="0096051F" w:rsidP="0096051F">
            <w:pPr>
              <w:pStyle w:val="ListParagraph"/>
              <w:numPr>
                <w:ilvl w:val="0"/>
                <w:numId w:val="64"/>
              </w:numPr>
              <w:spacing w:after="0" w:line="240" w:lineRule="auto"/>
              <w:contextualSpacing w:val="0"/>
              <w:jc w:val="both"/>
              <w:rPr>
                <w:sz w:val="20"/>
                <w:szCs w:val="20"/>
              </w:rPr>
            </w:pPr>
            <w:r w:rsidRPr="00D54026">
              <w:rPr>
                <w:sz w:val="20"/>
                <w:szCs w:val="20"/>
              </w:rPr>
              <w:t>PI’s Terms &amp; Conditions</w:t>
            </w:r>
          </w:p>
          <w:p w:rsidR="0096051F" w:rsidRPr="00CC2BE4" w:rsidRDefault="0096051F" w:rsidP="00C253AC">
            <w:pPr>
              <w:pStyle w:val="ListParagraph"/>
              <w:spacing w:after="0" w:line="240" w:lineRule="auto"/>
              <w:ind w:left="0"/>
              <w:jc w:val="both"/>
              <w:rPr>
                <w:sz w:val="18"/>
              </w:rPr>
            </w:pPr>
          </w:p>
        </w:tc>
      </w:tr>
    </w:tbl>
    <w:p w:rsidR="00AC4F5B" w:rsidRPr="00CC2BE4" w:rsidRDefault="00AC4F5B"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sidRPr="00CC2BE4">
        <w:rPr>
          <w:rFonts w:ascii="Calibri" w:hAnsi="Calibri"/>
          <w:color w:val="000000" w:themeColor="text1"/>
        </w:rPr>
        <w:t>8</w:t>
      </w:r>
      <w:r w:rsidR="00AC4F5B" w:rsidRPr="00CC2BE4">
        <w:rPr>
          <w:rFonts w:ascii="Calibri" w:hAnsi="Calibri"/>
          <w:color w:val="000000" w:themeColor="text1"/>
        </w:rPr>
        <w:t>.2. Branches of the PIs</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AC4F5B"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54026" w:rsidRPr="00D54026" w:rsidRDefault="00D54026" w:rsidP="00D54026">
            <w:pPr>
              <w:pStyle w:val="ListParagraph"/>
              <w:spacing w:after="0" w:line="240" w:lineRule="auto"/>
              <w:ind w:left="0"/>
              <w:jc w:val="both"/>
              <w:rPr>
                <w:sz w:val="20"/>
                <w:szCs w:val="20"/>
              </w:rPr>
            </w:pPr>
            <w:r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AC4F5B" w:rsidRDefault="00AC4F5B" w:rsidP="00C253AC">
            <w:pPr>
              <w:pStyle w:val="ListParagraph"/>
              <w:spacing w:after="0" w:line="240" w:lineRule="auto"/>
              <w:ind w:left="0"/>
              <w:jc w:val="both"/>
              <w:rPr>
                <w:sz w:val="18"/>
              </w:rPr>
            </w:pPr>
          </w:p>
          <w:p w:rsidR="00AC4F5B" w:rsidRPr="00BD6920" w:rsidRDefault="001D4DF4" w:rsidP="00D54026">
            <w:pPr>
              <w:pStyle w:val="ListParagraph"/>
              <w:spacing w:after="0" w:line="240" w:lineRule="auto"/>
              <w:ind w:left="0"/>
              <w:jc w:val="both"/>
              <w:rPr>
                <w:sz w:val="18"/>
              </w:rPr>
            </w:pPr>
            <w:r>
              <w:rPr>
                <w:sz w:val="18"/>
              </w:rPr>
              <w:t xml:space="preserve"> </w:t>
            </w:r>
          </w:p>
        </w:tc>
      </w:tr>
    </w:tbl>
    <w:p w:rsidR="00AC4F5B" w:rsidRDefault="00AC4F5B"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AC4F5B">
        <w:rPr>
          <w:rFonts w:ascii="Calibri" w:hAnsi="Calibri"/>
          <w:color w:val="000000" w:themeColor="text1"/>
        </w:rPr>
        <w:t xml:space="preserve">.3. Agents of PIs </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AC4F5B"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54026" w:rsidRDefault="00D54026" w:rsidP="00D54026">
            <w:pPr>
              <w:pStyle w:val="ListParagraph"/>
              <w:spacing w:after="0" w:line="240" w:lineRule="auto"/>
              <w:ind w:left="0"/>
              <w:jc w:val="both"/>
              <w:rPr>
                <w:sz w:val="20"/>
                <w:szCs w:val="20"/>
              </w:rPr>
            </w:pPr>
            <w:r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AC4F5B" w:rsidRPr="00D54026" w:rsidRDefault="00D54026" w:rsidP="00C253AC">
            <w:pPr>
              <w:pStyle w:val="ListParagraph"/>
              <w:spacing w:after="0" w:line="240" w:lineRule="auto"/>
              <w:ind w:left="0"/>
              <w:jc w:val="both"/>
              <w:rPr>
                <w:sz w:val="20"/>
                <w:szCs w:val="20"/>
              </w:rPr>
            </w:pPr>
            <w:r>
              <w:rPr>
                <w:sz w:val="20"/>
                <w:szCs w:val="20"/>
              </w:rPr>
              <w:t xml:space="preserve">For Agents of PIs specifically this should also include the </w:t>
            </w:r>
            <w:r w:rsidR="001D4DF4" w:rsidRPr="00D54026">
              <w:rPr>
                <w:sz w:val="20"/>
                <w:szCs w:val="20"/>
              </w:rPr>
              <w:t xml:space="preserve">agent </w:t>
            </w:r>
            <w:r w:rsidR="0096051F" w:rsidRPr="00D54026">
              <w:rPr>
                <w:sz w:val="20"/>
                <w:szCs w:val="20"/>
              </w:rPr>
              <w:t>t</w:t>
            </w:r>
            <w:r w:rsidR="00E61206" w:rsidRPr="00D54026">
              <w:rPr>
                <w:sz w:val="20"/>
                <w:szCs w:val="20"/>
              </w:rPr>
              <w:t xml:space="preserve">ype, </w:t>
            </w:r>
            <w:r>
              <w:rPr>
                <w:sz w:val="20"/>
                <w:szCs w:val="20"/>
              </w:rPr>
              <w:t xml:space="preserve">and a </w:t>
            </w:r>
            <w:r w:rsidR="00E61206" w:rsidRPr="00D54026">
              <w:rPr>
                <w:sz w:val="20"/>
                <w:szCs w:val="20"/>
              </w:rPr>
              <w:t>full set of legal a</w:t>
            </w:r>
            <w:r>
              <w:rPr>
                <w:sz w:val="20"/>
                <w:szCs w:val="20"/>
              </w:rPr>
              <w:t xml:space="preserve">nd trading registry information. </w:t>
            </w:r>
          </w:p>
          <w:p w:rsidR="00AC4F5B" w:rsidRPr="00BD6920" w:rsidRDefault="00AC4F5B" w:rsidP="00C253AC">
            <w:pPr>
              <w:pStyle w:val="ListParagraph"/>
              <w:spacing w:after="0" w:line="240" w:lineRule="auto"/>
              <w:ind w:left="0"/>
              <w:jc w:val="both"/>
              <w:rPr>
                <w:sz w:val="18"/>
              </w:rPr>
            </w:pPr>
          </w:p>
        </w:tc>
      </w:tr>
    </w:tbl>
    <w:p w:rsidR="00AC4F5B" w:rsidRDefault="00AC4F5B" w:rsidP="00C253AC">
      <w:pPr>
        <w:pStyle w:val="ListParagraph"/>
        <w:spacing w:after="0" w:line="240" w:lineRule="auto"/>
        <w:ind w:left="360"/>
        <w:jc w:val="both"/>
        <w:rPr>
          <w:rFonts w:ascii="Calibri" w:hAnsi="Calibri"/>
          <w:color w:val="000000" w:themeColor="text1"/>
        </w:rPr>
      </w:pPr>
    </w:p>
    <w:p w:rsidR="00D54026" w:rsidRDefault="00D54026"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AC4F5B">
        <w:rPr>
          <w:rFonts w:ascii="Calibri" w:hAnsi="Calibri"/>
          <w:color w:val="000000" w:themeColor="text1"/>
        </w:rPr>
        <w:t xml:space="preserve">.4. </w:t>
      </w:r>
      <w:r w:rsidR="00C253AC">
        <w:rPr>
          <w:rFonts w:ascii="Calibri" w:hAnsi="Calibri"/>
          <w:color w:val="000000" w:themeColor="text1"/>
        </w:rPr>
        <w:t>Exempted natural and legal persons</w:t>
      </w:r>
      <w:r w:rsidR="00AC4F5B">
        <w:rPr>
          <w:rFonts w:ascii="Calibri" w:hAnsi="Calibri"/>
          <w:color w:val="000000" w:themeColor="text1"/>
        </w:rPr>
        <w:t xml:space="preserve"> under Article 32 of PSD2</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AC4F5B"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54026" w:rsidRPr="00D54026" w:rsidRDefault="00D54026" w:rsidP="00D54026">
            <w:pPr>
              <w:pStyle w:val="ListParagraph"/>
              <w:spacing w:after="0" w:line="240" w:lineRule="auto"/>
              <w:ind w:left="0"/>
              <w:jc w:val="both"/>
              <w:rPr>
                <w:sz w:val="20"/>
                <w:szCs w:val="20"/>
              </w:rPr>
            </w:pPr>
            <w:r w:rsidRPr="00D54026">
              <w:rPr>
                <w:sz w:val="20"/>
                <w:szCs w:val="20"/>
              </w:rPr>
              <w:t xml:space="preserve">We believe that the information provided by and for all regulated entities needs to be the same, with the core information being information allowing them to be identified and details of their </w:t>
            </w:r>
            <w:r w:rsidRPr="00D54026">
              <w:rPr>
                <w:sz w:val="20"/>
                <w:szCs w:val="20"/>
              </w:rPr>
              <w:lastRenderedPageBreak/>
              <w:t>authorisations to be known.</w:t>
            </w:r>
          </w:p>
          <w:p w:rsidR="00AC4F5B" w:rsidRPr="00BD6920" w:rsidRDefault="00AC4F5B" w:rsidP="00C253AC">
            <w:pPr>
              <w:pStyle w:val="ListParagraph"/>
              <w:spacing w:after="0" w:line="240" w:lineRule="auto"/>
              <w:ind w:left="0"/>
              <w:jc w:val="both"/>
              <w:rPr>
                <w:sz w:val="18"/>
              </w:rPr>
            </w:pPr>
          </w:p>
        </w:tc>
      </w:tr>
    </w:tbl>
    <w:p w:rsidR="00C253AC" w:rsidRDefault="00C253AC" w:rsidP="00C253AC">
      <w:pPr>
        <w:pStyle w:val="ListParagraph"/>
        <w:spacing w:after="0" w:line="240" w:lineRule="auto"/>
        <w:ind w:left="360"/>
        <w:jc w:val="both"/>
        <w:rPr>
          <w:rFonts w:ascii="Calibri" w:hAnsi="Calibri"/>
          <w:color w:val="000000" w:themeColor="text1"/>
        </w:rPr>
      </w:pPr>
    </w:p>
    <w:p w:rsidR="00C253AC"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C253AC">
        <w:rPr>
          <w:rFonts w:ascii="Calibri" w:hAnsi="Calibri"/>
          <w:color w:val="000000" w:themeColor="text1"/>
        </w:rPr>
        <w:t>.5. Agents of exempted natural and legal persons under Article 32 of PSD2</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C253AC"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253AC" w:rsidRDefault="00C253AC" w:rsidP="00C253AC">
            <w:pPr>
              <w:pStyle w:val="ListParagraph"/>
              <w:spacing w:after="0" w:line="240" w:lineRule="auto"/>
              <w:ind w:left="0"/>
              <w:jc w:val="both"/>
              <w:rPr>
                <w:sz w:val="18"/>
              </w:rPr>
            </w:pPr>
          </w:p>
          <w:p w:rsidR="00D54026" w:rsidRPr="00D54026" w:rsidRDefault="00D54026" w:rsidP="00D54026">
            <w:pPr>
              <w:pStyle w:val="ListParagraph"/>
              <w:spacing w:after="0" w:line="240" w:lineRule="auto"/>
              <w:ind w:left="0"/>
              <w:jc w:val="both"/>
              <w:rPr>
                <w:sz w:val="20"/>
                <w:szCs w:val="20"/>
              </w:rPr>
            </w:pPr>
            <w:r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1D4DF4" w:rsidRPr="003967A5" w:rsidRDefault="001D4DF4" w:rsidP="001D4DF4">
            <w:pPr>
              <w:pStyle w:val="ListParagraph"/>
              <w:spacing w:after="0" w:line="240" w:lineRule="auto"/>
              <w:ind w:left="0"/>
              <w:jc w:val="both"/>
            </w:pPr>
          </w:p>
          <w:p w:rsidR="00C253AC" w:rsidRPr="00BD6920" w:rsidRDefault="00C253AC" w:rsidP="00C253AC">
            <w:pPr>
              <w:pStyle w:val="ListParagraph"/>
              <w:spacing w:after="0" w:line="240" w:lineRule="auto"/>
              <w:ind w:left="0"/>
              <w:jc w:val="both"/>
              <w:rPr>
                <w:sz w:val="18"/>
              </w:rPr>
            </w:pPr>
          </w:p>
        </w:tc>
      </w:tr>
    </w:tbl>
    <w:p w:rsidR="00AC4F5B" w:rsidRDefault="00AC4F5B"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C253AC">
        <w:rPr>
          <w:rFonts w:ascii="Calibri" w:hAnsi="Calibri"/>
          <w:color w:val="000000" w:themeColor="text1"/>
        </w:rPr>
        <w:t>.6</w:t>
      </w:r>
      <w:r w:rsidR="00AC4F5B">
        <w:rPr>
          <w:rFonts w:ascii="Calibri" w:hAnsi="Calibri"/>
          <w:color w:val="000000" w:themeColor="text1"/>
        </w:rPr>
        <w:t xml:space="preserve">. </w:t>
      </w:r>
      <w:r w:rsidR="00C253AC">
        <w:rPr>
          <w:rFonts w:ascii="Calibri" w:hAnsi="Calibri"/>
          <w:color w:val="000000" w:themeColor="text1"/>
        </w:rPr>
        <w:t>Accoun</w:t>
      </w:r>
      <w:r w:rsidR="00A142BB">
        <w:rPr>
          <w:rFonts w:ascii="Calibri" w:hAnsi="Calibri"/>
          <w:color w:val="000000" w:themeColor="text1"/>
        </w:rPr>
        <w:t>t information service providers</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AC4F5B"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54026" w:rsidRPr="00D54026" w:rsidRDefault="00D54026" w:rsidP="00D54026">
            <w:pPr>
              <w:pStyle w:val="ListParagraph"/>
              <w:spacing w:after="0" w:line="240" w:lineRule="auto"/>
              <w:ind w:left="0"/>
              <w:jc w:val="both"/>
              <w:rPr>
                <w:sz w:val="20"/>
                <w:szCs w:val="20"/>
              </w:rPr>
            </w:pPr>
            <w:bookmarkStart w:id="0" w:name="OLE_LINK2"/>
            <w:bookmarkStart w:id="1" w:name="OLE_LINK3"/>
            <w:r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D54026" w:rsidRDefault="00D54026" w:rsidP="00D54026">
            <w:pPr>
              <w:jc w:val="both"/>
            </w:pPr>
          </w:p>
          <w:p w:rsidR="00D54026" w:rsidRPr="00D54026" w:rsidRDefault="00D54026" w:rsidP="00D54026">
            <w:pPr>
              <w:jc w:val="both"/>
              <w:rPr>
                <w:sz w:val="20"/>
              </w:rPr>
            </w:pPr>
            <w:r w:rsidRPr="00D54026">
              <w:rPr>
                <w:sz w:val="20"/>
              </w:rPr>
              <w:t>For Account information services providers specifically this should also include:</w:t>
            </w:r>
          </w:p>
          <w:p w:rsidR="00EB5917" w:rsidRPr="00D54026" w:rsidRDefault="00D54026" w:rsidP="00EB5917">
            <w:pPr>
              <w:pStyle w:val="ListParagraph"/>
              <w:numPr>
                <w:ilvl w:val="0"/>
                <w:numId w:val="65"/>
              </w:numPr>
              <w:spacing w:after="0" w:line="240" w:lineRule="auto"/>
              <w:jc w:val="both"/>
              <w:rPr>
                <w:sz w:val="20"/>
                <w:szCs w:val="20"/>
              </w:rPr>
            </w:pPr>
            <w:r>
              <w:rPr>
                <w:sz w:val="20"/>
                <w:szCs w:val="20"/>
              </w:rPr>
              <w:t>Allowed data scopes,</w:t>
            </w:r>
          </w:p>
          <w:p w:rsidR="00EB5917" w:rsidRPr="00D54026" w:rsidRDefault="00EB5917" w:rsidP="00EB5917">
            <w:pPr>
              <w:pStyle w:val="ListParagraph"/>
              <w:numPr>
                <w:ilvl w:val="0"/>
                <w:numId w:val="65"/>
              </w:numPr>
              <w:spacing w:after="0" w:line="240" w:lineRule="auto"/>
              <w:jc w:val="both"/>
              <w:rPr>
                <w:sz w:val="20"/>
                <w:szCs w:val="20"/>
              </w:rPr>
            </w:pPr>
            <w:r w:rsidRPr="00D54026">
              <w:rPr>
                <w:sz w:val="20"/>
                <w:szCs w:val="20"/>
              </w:rPr>
              <w:t>AISP’s Terms &amp; Conditions</w:t>
            </w:r>
            <w:r w:rsidR="00D54026">
              <w:rPr>
                <w:sz w:val="20"/>
                <w:szCs w:val="20"/>
              </w:rPr>
              <w:t>,</w:t>
            </w:r>
          </w:p>
          <w:p w:rsidR="00EB5917" w:rsidRPr="00D54026" w:rsidRDefault="00EB5917" w:rsidP="00224C91">
            <w:pPr>
              <w:pStyle w:val="ListParagraph"/>
              <w:numPr>
                <w:ilvl w:val="0"/>
                <w:numId w:val="65"/>
              </w:numPr>
              <w:spacing w:after="0" w:line="240" w:lineRule="auto"/>
              <w:jc w:val="both"/>
              <w:rPr>
                <w:sz w:val="20"/>
                <w:szCs w:val="20"/>
              </w:rPr>
            </w:pPr>
            <w:r w:rsidRPr="00D54026">
              <w:rPr>
                <w:sz w:val="20"/>
                <w:szCs w:val="20"/>
              </w:rPr>
              <w:t>Any indications whether the AISP has been associated with fraudulent behaviour, has been prosecuted or has otherwise violated Payment-related rules</w:t>
            </w:r>
            <w:r w:rsidR="00D54026">
              <w:rPr>
                <w:sz w:val="20"/>
                <w:szCs w:val="20"/>
              </w:rPr>
              <w:t xml:space="preserve">, and </w:t>
            </w:r>
          </w:p>
          <w:p w:rsidR="00AC4F5B" w:rsidRPr="00D54026" w:rsidRDefault="00EB5917" w:rsidP="00224C91">
            <w:pPr>
              <w:pStyle w:val="ListParagraph"/>
              <w:numPr>
                <w:ilvl w:val="0"/>
                <w:numId w:val="65"/>
              </w:numPr>
              <w:spacing w:after="0" w:line="240" w:lineRule="auto"/>
              <w:jc w:val="both"/>
              <w:rPr>
                <w:sz w:val="20"/>
                <w:szCs w:val="20"/>
              </w:rPr>
            </w:pPr>
            <w:r w:rsidRPr="00D54026">
              <w:rPr>
                <w:sz w:val="20"/>
                <w:szCs w:val="20"/>
              </w:rPr>
              <w:t>Information what other services the AISP provides, if any (as ASPSP or PISP)</w:t>
            </w:r>
            <w:bookmarkEnd w:id="0"/>
            <w:bookmarkEnd w:id="1"/>
            <w:r w:rsidR="00D54026">
              <w:rPr>
                <w:sz w:val="20"/>
                <w:szCs w:val="20"/>
              </w:rPr>
              <w:t>.</w:t>
            </w:r>
          </w:p>
          <w:p w:rsidR="00AC4F5B" w:rsidRPr="00BD6920" w:rsidRDefault="00AC4F5B" w:rsidP="00C253AC">
            <w:pPr>
              <w:pStyle w:val="ListParagraph"/>
              <w:spacing w:after="0" w:line="240" w:lineRule="auto"/>
              <w:ind w:left="0"/>
              <w:jc w:val="both"/>
              <w:rPr>
                <w:sz w:val="18"/>
              </w:rPr>
            </w:pPr>
          </w:p>
        </w:tc>
      </w:tr>
    </w:tbl>
    <w:p w:rsidR="00E849BE" w:rsidRDefault="00E849BE" w:rsidP="00E849BE">
      <w:pPr>
        <w:pStyle w:val="ListParagraph"/>
        <w:spacing w:after="0" w:line="240" w:lineRule="auto"/>
        <w:ind w:left="360"/>
        <w:jc w:val="both"/>
        <w:rPr>
          <w:rFonts w:ascii="Calibri" w:hAnsi="Calibri"/>
          <w:color w:val="000000" w:themeColor="text1"/>
        </w:rPr>
      </w:pPr>
    </w:p>
    <w:p w:rsidR="00E849BE" w:rsidRDefault="00E849BE" w:rsidP="00E849BE">
      <w:pPr>
        <w:pStyle w:val="ListParagraph"/>
        <w:spacing w:after="0" w:line="240" w:lineRule="auto"/>
        <w:ind w:left="360"/>
        <w:jc w:val="both"/>
        <w:rPr>
          <w:rFonts w:ascii="Calibri" w:hAnsi="Calibri"/>
          <w:color w:val="000000" w:themeColor="text1"/>
        </w:rPr>
      </w:pPr>
      <w:r>
        <w:rPr>
          <w:rFonts w:ascii="Calibri" w:hAnsi="Calibri"/>
          <w:color w:val="000000" w:themeColor="text1"/>
        </w:rPr>
        <w:t>8.7. Agents of account information service providers</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E849BE" w:rsidRPr="00BD6920" w:rsidTr="00826982">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9BE" w:rsidRDefault="00E849BE" w:rsidP="00826982">
            <w:pPr>
              <w:pStyle w:val="ListParagraph"/>
              <w:spacing w:after="0" w:line="240" w:lineRule="auto"/>
              <w:ind w:left="0"/>
              <w:jc w:val="both"/>
              <w:rPr>
                <w:sz w:val="18"/>
              </w:rPr>
            </w:pPr>
          </w:p>
          <w:p w:rsidR="001D4DF4" w:rsidRPr="00D54026" w:rsidRDefault="001D4DF4" w:rsidP="001D4DF4">
            <w:pPr>
              <w:pStyle w:val="ListParagraph"/>
              <w:spacing w:after="0" w:line="240" w:lineRule="auto"/>
              <w:ind w:left="0"/>
              <w:jc w:val="both"/>
              <w:rPr>
                <w:sz w:val="20"/>
                <w:szCs w:val="20"/>
              </w:rPr>
            </w:pPr>
            <w:r>
              <w:rPr>
                <w:sz w:val="18"/>
              </w:rPr>
              <w:t xml:space="preserve"> </w:t>
            </w:r>
            <w:r w:rsidR="00D54026"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E849BE" w:rsidRPr="00BD6920" w:rsidRDefault="00E849BE" w:rsidP="00826982">
            <w:pPr>
              <w:pStyle w:val="ListParagraph"/>
              <w:spacing w:after="0" w:line="240" w:lineRule="auto"/>
              <w:ind w:left="0"/>
              <w:jc w:val="both"/>
              <w:rPr>
                <w:sz w:val="18"/>
              </w:rPr>
            </w:pPr>
          </w:p>
        </w:tc>
      </w:tr>
    </w:tbl>
    <w:p w:rsidR="00AC4F5B" w:rsidRDefault="00AC4F5B"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AC4F5B">
        <w:rPr>
          <w:rFonts w:ascii="Calibri" w:hAnsi="Calibri"/>
          <w:color w:val="000000" w:themeColor="text1"/>
        </w:rPr>
        <w:t>.</w:t>
      </w:r>
      <w:r w:rsidR="00E849BE">
        <w:rPr>
          <w:rFonts w:ascii="Calibri" w:hAnsi="Calibri"/>
          <w:color w:val="000000" w:themeColor="text1"/>
        </w:rPr>
        <w:t>8</w:t>
      </w:r>
      <w:r w:rsidR="00AC4F5B">
        <w:rPr>
          <w:rFonts w:ascii="Calibri" w:hAnsi="Calibri"/>
          <w:color w:val="000000" w:themeColor="text1"/>
        </w:rPr>
        <w:t xml:space="preserve">. Institutions </w:t>
      </w:r>
      <w:r w:rsidR="00E849BE" w:rsidRPr="00E849BE">
        <w:rPr>
          <w:rFonts w:ascii="Calibri" w:hAnsi="Calibri"/>
          <w:color w:val="000000" w:themeColor="text1"/>
        </w:rPr>
        <w:t>referred to in Article 2(5) of PSD2 (institutions referred to in points (4) to (23) of Article 2(5) of Directive 2013/36/EU</w:t>
      </w:r>
      <w:r w:rsidR="00E849BE" w:rsidRPr="00C51CAD">
        <w:rPr>
          <w:rStyle w:val="FootnoteReference"/>
          <w:color w:val="000000" w:themeColor="text1"/>
        </w:rPr>
        <w:footnoteReference w:id="5"/>
      </w:r>
      <w:r w:rsidR="00E849BE" w:rsidRPr="00E849BE">
        <w:rPr>
          <w:rFonts w:ascii="Calibri" w:hAnsi="Calibri"/>
          <w:color w:val="000000" w:themeColor="text1"/>
        </w:rPr>
        <w:t>) that are entitled under national law to provide payment services</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AC4F5B"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54026" w:rsidRPr="00D54026" w:rsidRDefault="00D54026" w:rsidP="00D54026">
            <w:pPr>
              <w:pStyle w:val="ListParagraph"/>
              <w:spacing w:after="0" w:line="240" w:lineRule="auto"/>
              <w:ind w:left="0"/>
              <w:jc w:val="both"/>
              <w:rPr>
                <w:sz w:val="20"/>
                <w:szCs w:val="20"/>
              </w:rPr>
            </w:pPr>
            <w:bookmarkStart w:id="2" w:name="OLE_LINK5"/>
            <w:bookmarkStart w:id="3" w:name="OLE_LINK6"/>
            <w:r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D54026" w:rsidRDefault="00D54026" w:rsidP="00D54026">
            <w:pPr>
              <w:jc w:val="both"/>
            </w:pPr>
          </w:p>
          <w:p w:rsidR="00D54026" w:rsidRPr="000019DA" w:rsidRDefault="00D54026" w:rsidP="00D54026">
            <w:pPr>
              <w:jc w:val="both"/>
              <w:rPr>
                <w:rFonts w:ascii="Calibri" w:hAnsi="Calibri"/>
                <w:color w:val="000000" w:themeColor="text1"/>
                <w:sz w:val="20"/>
              </w:rPr>
            </w:pPr>
            <w:r w:rsidRPr="000019DA">
              <w:rPr>
                <w:sz w:val="20"/>
              </w:rPr>
              <w:t>For Institutions referred to in Article 2(5) of PSD2</w:t>
            </w:r>
            <w:r w:rsidR="000019DA" w:rsidRPr="000019DA">
              <w:rPr>
                <w:sz w:val="20"/>
              </w:rPr>
              <w:t xml:space="preserve"> </w:t>
            </w:r>
            <w:r w:rsidR="000019DA" w:rsidRPr="000019DA">
              <w:rPr>
                <w:rFonts w:ascii="Calibri" w:hAnsi="Calibri"/>
                <w:color w:val="000000" w:themeColor="text1"/>
                <w:sz w:val="20"/>
              </w:rPr>
              <w:t>that are entitled under national law to provide payment services</w:t>
            </w:r>
            <w:r w:rsidR="000019DA" w:rsidRPr="000019DA">
              <w:rPr>
                <w:rFonts w:ascii="Calibri" w:hAnsi="Calibri"/>
                <w:color w:val="000000" w:themeColor="text1"/>
                <w:sz w:val="20"/>
              </w:rPr>
              <w:t xml:space="preserve"> this should also include:</w:t>
            </w:r>
          </w:p>
          <w:p w:rsidR="00EB5917" w:rsidRPr="000019DA" w:rsidRDefault="00EB5917" w:rsidP="00EB5917">
            <w:pPr>
              <w:pStyle w:val="ListParagraph"/>
              <w:numPr>
                <w:ilvl w:val="0"/>
                <w:numId w:val="65"/>
              </w:numPr>
              <w:spacing w:after="0" w:line="240" w:lineRule="auto"/>
              <w:jc w:val="both"/>
              <w:rPr>
                <w:sz w:val="20"/>
                <w:szCs w:val="20"/>
              </w:rPr>
            </w:pPr>
            <w:r w:rsidRPr="000019DA">
              <w:rPr>
                <w:sz w:val="20"/>
                <w:szCs w:val="20"/>
              </w:rPr>
              <w:t xml:space="preserve">Allowed services </w:t>
            </w:r>
            <w:r w:rsidR="000019DA">
              <w:rPr>
                <w:sz w:val="20"/>
                <w:szCs w:val="20"/>
              </w:rPr>
              <w:t>,</w:t>
            </w:r>
          </w:p>
          <w:p w:rsidR="00EB5917" w:rsidRPr="000019DA" w:rsidRDefault="00EB5917" w:rsidP="00224C91">
            <w:pPr>
              <w:pStyle w:val="ListParagraph"/>
              <w:numPr>
                <w:ilvl w:val="0"/>
                <w:numId w:val="65"/>
              </w:numPr>
              <w:spacing w:after="0" w:line="240" w:lineRule="auto"/>
              <w:jc w:val="both"/>
              <w:rPr>
                <w:sz w:val="20"/>
                <w:szCs w:val="20"/>
              </w:rPr>
            </w:pPr>
            <w:r w:rsidRPr="000019DA">
              <w:rPr>
                <w:sz w:val="20"/>
                <w:szCs w:val="20"/>
              </w:rPr>
              <w:t>PISP’s Terms &amp; Conditions</w:t>
            </w:r>
            <w:r w:rsidR="000019DA">
              <w:rPr>
                <w:sz w:val="20"/>
                <w:szCs w:val="20"/>
              </w:rPr>
              <w:t>,</w:t>
            </w:r>
          </w:p>
          <w:p w:rsidR="00AC4F5B" w:rsidRPr="00224C91" w:rsidRDefault="00EB5917" w:rsidP="00224C91">
            <w:pPr>
              <w:pStyle w:val="ListParagraph"/>
              <w:numPr>
                <w:ilvl w:val="0"/>
                <w:numId w:val="65"/>
              </w:numPr>
              <w:spacing w:after="0" w:line="240" w:lineRule="auto"/>
              <w:jc w:val="both"/>
            </w:pPr>
            <w:r w:rsidRPr="000019DA">
              <w:rPr>
                <w:sz w:val="20"/>
                <w:szCs w:val="20"/>
              </w:rPr>
              <w:t xml:space="preserve">Any indications whether the PISP has been associated with fraudulent behaviour, </w:t>
            </w:r>
            <w:bookmarkStart w:id="4" w:name="OLE_LINK4"/>
            <w:r w:rsidRPr="000019DA">
              <w:rPr>
                <w:sz w:val="20"/>
                <w:szCs w:val="20"/>
              </w:rPr>
              <w:t xml:space="preserve">has been prosecuted or has otherwise violated Payment-related rules </w:t>
            </w:r>
            <w:bookmarkEnd w:id="4"/>
            <w:bookmarkEnd w:id="2"/>
            <w:bookmarkEnd w:id="3"/>
            <w:r w:rsidRPr="000019DA">
              <w:rPr>
                <w:sz w:val="20"/>
                <w:szCs w:val="20"/>
              </w:rPr>
              <w:t>Information what other services the PISP provides, if any (as ASPSP or AISP)</w:t>
            </w:r>
          </w:p>
        </w:tc>
      </w:tr>
    </w:tbl>
    <w:p w:rsidR="00E849BE" w:rsidRDefault="00E849BE" w:rsidP="00E849BE">
      <w:pPr>
        <w:pStyle w:val="ListParagraph"/>
        <w:spacing w:after="0" w:line="240" w:lineRule="auto"/>
        <w:ind w:left="360"/>
        <w:jc w:val="both"/>
        <w:rPr>
          <w:rFonts w:ascii="Calibri" w:hAnsi="Calibri"/>
          <w:color w:val="000000" w:themeColor="text1"/>
        </w:rPr>
      </w:pPr>
    </w:p>
    <w:p w:rsidR="00E849BE" w:rsidRDefault="00E849BE" w:rsidP="00E849BE">
      <w:pPr>
        <w:pStyle w:val="ListParagraph"/>
        <w:spacing w:after="0" w:line="240" w:lineRule="auto"/>
        <w:ind w:left="360"/>
        <w:jc w:val="both"/>
        <w:rPr>
          <w:rFonts w:ascii="Calibri" w:hAnsi="Calibri"/>
          <w:color w:val="000000" w:themeColor="text1"/>
        </w:rPr>
      </w:pPr>
      <w:r>
        <w:rPr>
          <w:rFonts w:ascii="Calibri" w:hAnsi="Calibri"/>
          <w:color w:val="000000" w:themeColor="text1"/>
        </w:rPr>
        <w:t>8.9. Branches of institutions referred to in Article 2(5) of PSD2 that are entitled under national law to provide payment services</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E849BE" w:rsidRPr="00BD6920" w:rsidTr="00826982">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19DA" w:rsidRPr="00D54026" w:rsidRDefault="001D4DF4" w:rsidP="000019DA">
            <w:pPr>
              <w:pStyle w:val="ListParagraph"/>
              <w:spacing w:after="0" w:line="240" w:lineRule="auto"/>
              <w:ind w:left="0"/>
              <w:jc w:val="both"/>
              <w:rPr>
                <w:sz w:val="20"/>
                <w:szCs w:val="20"/>
              </w:rPr>
            </w:pPr>
            <w:r>
              <w:rPr>
                <w:sz w:val="18"/>
              </w:rPr>
              <w:t xml:space="preserve"> </w:t>
            </w:r>
            <w:r w:rsidR="000019DA" w:rsidRPr="00D54026">
              <w:rPr>
                <w:sz w:val="20"/>
                <w:szCs w:val="20"/>
              </w:rPr>
              <w:t xml:space="preserve">We believe that the information provided by and for all regulated entities needs to be the same, </w:t>
            </w:r>
            <w:r w:rsidR="000019DA" w:rsidRPr="00D54026">
              <w:rPr>
                <w:sz w:val="20"/>
                <w:szCs w:val="20"/>
              </w:rPr>
              <w:lastRenderedPageBreak/>
              <w:t>with the core information being information allowing them to be identified and details of their authorisations to be known.</w:t>
            </w:r>
          </w:p>
          <w:p w:rsidR="00E849BE" w:rsidRPr="00BD6920" w:rsidRDefault="00E849BE" w:rsidP="00826982">
            <w:pPr>
              <w:pStyle w:val="ListParagraph"/>
              <w:spacing w:after="0" w:line="240" w:lineRule="auto"/>
              <w:ind w:left="0"/>
              <w:jc w:val="both"/>
              <w:rPr>
                <w:sz w:val="18"/>
              </w:rPr>
            </w:pPr>
          </w:p>
        </w:tc>
      </w:tr>
    </w:tbl>
    <w:p w:rsidR="00E849BE" w:rsidRDefault="00E849BE" w:rsidP="00E849BE">
      <w:pPr>
        <w:pStyle w:val="ListParagraph"/>
        <w:spacing w:after="0" w:line="240" w:lineRule="auto"/>
        <w:ind w:left="360"/>
        <w:jc w:val="both"/>
      </w:pPr>
    </w:p>
    <w:p w:rsidR="00AC4F5B" w:rsidRPr="00CC1BFA" w:rsidRDefault="00E7206F" w:rsidP="00C253AC">
      <w:pPr>
        <w:pStyle w:val="ListParagraph"/>
        <w:spacing w:after="0" w:line="240" w:lineRule="auto"/>
        <w:ind w:left="360"/>
        <w:jc w:val="both"/>
        <w:rPr>
          <w:rFonts w:ascii="Calibri" w:hAnsi="Calibri"/>
          <w:color w:val="000000" w:themeColor="text1"/>
        </w:rPr>
      </w:pPr>
      <w:r w:rsidRPr="00CC1BFA">
        <w:rPr>
          <w:rFonts w:ascii="Calibri" w:hAnsi="Calibri"/>
          <w:color w:val="000000" w:themeColor="text1"/>
        </w:rPr>
        <w:t>8</w:t>
      </w:r>
      <w:r w:rsidR="00AC4F5B" w:rsidRPr="00CC1BFA">
        <w:rPr>
          <w:rFonts w:ascii="Calibri" w:hAnsi="Calibri"/>
          <w:color w:val="000000" w:themeColor="text1"/>
        </w:rPr>
        <w:t>.</w:t>
      </w:r>
      <w:r w:rsidR="00E849BE">
        <w:rPr>
          <w:rFonts w:ascii="Calibri" w:hAnsi="Calibri"/>
          <w:color w:val="000000" w:themeColor="text1"/>
        </w:rPr>
        <w:t>10</w:t>
      </w:r>
      <w:r w:rsidR="00AC4F5B" w:rsidRPr="00CC1BFA">
        <w:rPr>
          <w:rFonts w:ascii="Calibri" w:hAnsi="Calibri"/>
          <w:color w:val="000000" w:themeColor="text1"/>
        </w:rPr>
        <w:t xml:space="preserve">. </w:t>
      </w:r>
      <w:r w:rsidR="00C253AC" w:rsidRPr="00CC1BFA">
        <w:rPr>
          <w:rFonts w:ascii="Calibri" w:hAnsi="Calibri"/>
          <w:color w:val="000000" w:themeColor="text1"/>
        </w:rPr>
        <w:t>Service providers that carry out the activities referred to in points (k)(</w:t>
      </w:r>
      <w:proofErr w:type="spellStart"/>
      <w:r w:rsidR="00C253AC" w:rsidRPr="00CC1BFA">
        <w:rPr>
          <w:rFonts w:ascii="Calibri" w:hAnsi="Calibri"/>
          <w:color w:val="000000" w:themeColor="text1"/>
        </w:rPr>
        <w:t>i</w:t>
      </w:r>
      <w:proofErr w:type="spellEnd"/>
      <w:r w:rsidR="00C253AC" w:rsidRPr="00CC1BFA">
        <w:rPr>
          <w:rFonts w:ascii="Calibri" w:hAnsi="Calibri"/>
          <w:color w:val="000000" w:themeColor="text1"/>
        </w:rPr>
        <w:t xml:space="preserve">) and (k)(ii) of Article 3 of PSD2 </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AC4F5B" w:rsidRPr="00CC1BFA"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C4F5B" w:rsidRPr="000019DA" w:rsidRDefault="00E61206" w:rsidP="00C253AC">
            <w:pPr>
              <w:pStyle w:val="ListParagraph"/>
              <w:spacing w:after="0" w:line="240" w:lineRule="auto"/>
              <w:ind w:left="0"/>
              <w:jc w:val="both"/>
              <w:rPr>
                <w:sz w:val="20"/>
                <w:szCs w:val="20"/>
              </w:rPr>
            </w:pPr>
            <w:r w:rsidRPr="000019DA">
              <w:rPr>
                <w:sz w:val="20"/>
                <w:szCs w:val="20"/>
              </w:rPr>
              <w:t>Access to the list of service providers</w:t>
            </w:r>
          </w:p>
          <w:p w:rsidR="00AC4F5B" w:rsidRPr="00CC1BFA" w:rsidRDefault="00AC4F5B" w:rsidP="00C253AC">
            <w:pPr>
              <w:pStyle w:val="ListParagraph"/>
              <w:spacing w:after="0" w:line="240" w:lineRule="auto"/>
              <w:ind w:left="0"/>
              <w:jc w:val="both"/>
              <w:rPr>
                <w:sz w:val="18"/>
              </w:rPr>
            </w:pPr>
          </w:p>
        </w:tc>
      </w:tr>
    </w:tbl>
    <w:p w:rsidR="00C253AC" w:rsidRPr="00CC1BFA" w:rsidRDefault="00C253AC" w:rsidP="00C253AC">
      <w:pPr>
        <w:pStyle w:val="ListParagraph"/>
        <w:spacing w:after="0" w:line="240" w:lineRule="auto"/>
        <w:ind w:left="360"/>
        <w:jc w:val="both"/>
        <w:rPr>
          <w:rFonts w:ascii="Calibri" w:hAnsi="Calibri"/>
          <w:color w:val="000000" w:themeColor="text1"/>
        </w:rPr>
      </w:pPr>
    </w:p>
    <w:p w:rsidR="00C253AC" w:rsidRDefault="00E7206F" w:rsidP="00C253AC">
      <w:pPr>
        <w:pStyle w:val="ListParagraph"/>
        <w:spacing w:after="0" w:line="240" w:lineRule="auto"/>
        <w:ind w:left="360"/>
        <w:jc w:val="both"/>
        <w:rPr>
          <w:rFonts w:ascii="Calibri" w:hAnsi="Calibri"/>
          <w:color w:val="000000" w:themeColor="text1"/>
        </w:rPr>
      </w:pPr>
      <w:r w:rsidRPr="00CC1BFA">
        <w:rPr>
          <w:rFonts w:ascii="Calibri" w:hAnsi="Calibri"/>
          <w:color w:val="000000" w:themeColor="text1"/>
        </w:rPr>
        <w:t>8</w:t>
      </w:r>
      <w:r w:rsidR="00C253AC" w:rsidRPr="00CC1BFA">
        <w:rPr>
          <w:rFonts w:ascii="Calibri" w:hAnsi="Calibri"/>
          <w:color w:val="000000" w:themeColor="text1"/>
        </w:rPr>
        <w:t>.</w:t>
      </w:r>
      <w:r w:rsidR="00E849BE">
        <w:rPr>
          <w:rFonts w:ascii="Calibri" w:hAnsi="Calibri"/>
          <w:color w:val="000000" w:themeColor="text1"/>
        </w:rPr>
        <w:t>11</w:t>
      </w:r>
      <w:r w:rsidR="00C253AC" w:rsidRPr="00CC1BFA">
        <w:rPr>
          <w:rFonts w:ascii="Calibri" w:hAnsi="Calibri"/>
          <w:color w:val="000000" w:themeColor="text1"/>
        </w:rPr>
        <w:t>. Service providers that carry</w:t>
      </w:r>
      <w:r w:rsidR="00C253AC" w:rsidRPr="00C253AC">
        <w:rPr>
          <w:rFonts w:ascii="Calibri" w:hAnsi="Calibri"/>
          <w:color w:val="000000" w:themeColor="text1"/>
        </w:rPr>
        <w:t xml:space="preserve"> out the </w:t>
      </w:r>
      <w:r w:rsidR="00CE6FA5">
        <w:rPr>
          <w:rFonts w:ascii="Calibri" w:hAnsi="Calibri"/>
          <w:color w:val="000000" w:themeColor="text1"/>
        </w:rPr>
        <w:t>activities referred to in point</w:t>
      </w:r>
      <w:r w:rsidR="00C253AC" w:rsidRPr="00C253AC">
        <w:rPr>
          <w:rFonts w:ascii="Calibri" w:hAnsi="Calibri"/>
          <w:color w:val="000000" w:themeColor="text1"/>
        </w:rPr>
        <w:t xml:space="preserve"> (</w:t>
      </w:r>
      <w:r w:rsidR="00CE6FA5">
        <w:rPr>
          <w:rFonts w:ascii="Calibri" w:hAnsi="Calibri"/>
          <w:color w:val="000000" w:themeColor="text1"/>
        </w:rPr>
        <w:t>l</w:t>
      </w:r>
      <w:r w:rsidR="00C253AC" w:rsidRPr="00C253AC">
        <w:rPr>
          <w:rFonts w:ascii="Calibri" w:hAnsi="Calibri"/>
          <w:color w:val="000000" w:themeColor="text1"/>
        </w:rPr>
        <w:t xml:space="preserve">) of Article 3 of PSD2 </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C253AC"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253AC" w:rsidRPr="000019DA" w:rsidRDefault="00E61206" w:rsidP="00C4246C">
            <w:pPr>
              <w:pStyle w:val="ListParagraph"/>
              <w:spacing w:after="0" w:line="240" w:lineRule="auto"/>
              <w:ind w:left="0"/>
              <w:jc w:val="both"/>
              <w:rPr>
                <w:sz w:val="20"/>
                <w:szCs w:val="20"/>
              </w:rPr>
            </w:pPr>
            <w:r w:rsidRPr="000019DA">
              <w:rPr>
                <w:sz w:val="20"/>
                <w:szCs w:val="20"/>
              </w:rPr>
              <w:t>Access to the list of service providers</w:t>
            </w:r>
          </w:p>
          <w:p w:rsidR="00C253AC" w:rsidRPr="00BD6920" w:rsidRDefault="00C253AC" w:rsidP="00C4246C">
            <w:pPr>
              <w:pStyle w:val="ListParagraph"/>
              <w:spacing w:after="0" w:line="240" w:lineRule="auto"/>
              <w:ind w:left="0"/>
              <w:jc w:val="both"/>
              <w:rPr>
                <w:sz w:val="18"/>
              </w:rPr>
            </w:pPr>
          </w:p>
        </w:tc>
      </w:tr>
    </w:tbl>
    <w:p w:rsidR="00EF08EE" w:rsidRDefault="00EF08EE" w:rsidP="00C253AC">
      <w:pPr>
        <w:pStyle w:val="ListParagraph"/>
        <w:spacing w:after="0" w:line="240" w:lineRule="auto"/>
        <w:ind w:left="360"/>
        <w:jc w:val="both"/>
        <w:rPr>
          <w:rFonts w:ascii="Calibri" w:hAnsi="Calibri"/>
          <w:color w:val="000000" w:themeColor="text1"/>
        </w:rPr>
      </w:pPr>
    </w:p>
    <w:p w:rsidR="00C253AC"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C253AC">
        <w:rPr>
          <w:rFonts w:ascii="Calibri" w:hAnsi="Calibri"/>
          <w:color w:val="000000" w:themeColor="text1"/>
        </w:rPr>
        <w:t>.</w:t>
      </w:r>
      <w:r w:rsidR="00E040CA">
        <w:rPr>
          <w:rFonts w:ascii="Calibri" w:hAnsi="Calibri"/>
          <w:color w:val="000000" w:themeColor="text1"/>
        </w:rPr>
        <w:t>1</w:t>
      </w:r>
      <w:r w:rsidR="00E849BE">
        <w:rPr>
          <w:rFonts w:ascii="Calibri" w:hAnsi="Calibri"/>
          <w:color w:val="000000" w:themeColor="text1"/>
        </w:rPr>
        <w:t>2</w:t>
      </w:r>
      <w:r w:rsidR="00C253AC">
        <w:rPr>
          <w:rFonts w:ascii="Calibri" w:hAnsi="Calibri"/>
          <w:color w:val="000000" w:themeColor="text1"/>
        </w:rPr>
        <w:t>. E-money institutions (EMI)</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C253AC"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19DA" w:rsidRPr="00D54026" w:rsidRDefault="000019DA" w:rsidP="000019DA">
            <w:pPr>
              <w:pStyle w:val="ListParagraph"/>
              <w:spacing w:after="0" w:line="240" w:lineRule="auto"/>
              <w:ind w:left="0"/>
              <w:jc w:val="both"/>
              <w:rPr>
                <w:sz w:val="20"/>
                <w:szCs w:val="20"/>
              </w:rPr>
            </w:pPr>
            <w:r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C253AC" w:rsidRPr="00BD6920" w:rsidRDefault="00C253AC" w:rsidP="000019DA">
            <w:pPr>
              <w:pStyle w:val="ListParagraph"/>
              <w:spacing w:after="0" w:line="240" w:lineRule="auto"/>
              <w:ind w:left="0"/>
              <w:jc w:val="both"/>
              <w:rPr>
                <w:sz w:val="18"/>
              </w:rPr>
            </w:pPr>
          </w:p>
        </w:tc>
      </w:tr>
    </w:tbl>
    <w:p w:rsidR="00AC4F5B" w:rsidRDefault="00AC4F5B"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AC4F5B">
        <w:rPr>
          <w:rFonts w:ascii="Calibri" w:hAnsi="Calibri"/>
          <w:color w:val="000000" w:themeColor="text1"/>
        </w:rPr>
        <w:t>.</w:t>
      </w:r>
      <w:r w:rsidR="00E040CA">
        <w:rPr>
          <w:rFonts w:ascii="Calibri" w:hAnsi="Calibri"/>
          <w:color w:val="000000" w:themeColor="text1"/>
        </w:rPr>
        <w:t>1</w:t>
      </w:r>
      <w:r w:rsidR="00E849BE">
        <w:rPr>
          <w:rFonts w:ascii="Calibri" w:hAnsi="Calibri"/>
          <w:color w:val="000000" w:themeColor="text1"/>
        </w:rPr>
        <w:t>3</w:t>
      </w:r>
      <w:r w:rsidR="00AC4F5B">
        <w:rPr>
          <w:rFonts w:ascii="Calibri" w:hAnsi="Calibri"/>
          <w:color w:val="000000" w:themeColor="text1"/>
        </w:rPr>
        <w:t xml:space="preserve">. Branches of EMIs </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C253AC"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19DA" w:rsidRPr="00D54026" w:rsidRDefault="000019DA" w:rsidP="000019DA">
            <w:pPr>
              <w:pStyle w:val="ListParagraph"/>
              <w:spacing w:after="0" w:line="240" w:lineRule="auto"/>
              <w:ind w:left="0"/>
              <w:jc w:val="both"/>
              <w:rPr>
                <w:sz w:val="20"/>
                <w:szCs w:val="20"/>
              </w:rPr>
            </w:pPr>
            <w:r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C253AC" w:rsidRPr="00BD6920" w:rsidRDefault="00C253AC" w:rsidP="001D4DF4">
            <w:pPr>
              <w:pStyle w:val="ListParagraph"/>
              <w:spacing w:after="0" w:line="240" w:lineRule="auto"/>
              <w:ind w:left="0"/>
              <w:jc w:val="both"/>
              <w:rPr>
                <w:sz w:val="18"/>
              </w:rPr>
            </w:pPr>
          </w:p>
        </w:tc>
      </w:tr>
    </w:tbl>
    <w:p w:rsidR="00AC4F5B" w:rsidRDefault="00AC4F5B"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AC4F5B">
        <w:rPr>
          <w:rFonts w:ascii="Calibri" w:hAnsi="Calibri"/>
          <w:color w:val="000000" w:themeColor="text1"/>
        </w:rPr>
        <w:t>.</w:t>
      </w:r>
      <w:r w:rsidR="00C253AC">
        <w:rPr>
          <w:rFonts w:ascii="Calibri" w:hAnsi="Calibri"/>
          <w:color w:val="000000" w:themeColor="text1"/>
        </w:rPr>
        <w:t>1</w:t>
      </w:r>
      <w:r w:rsidR="00E849BE">
        <w:rPr>
          <w:rFonts w:ascii="Calibri" w:hAnsi="Calibri"/>
          <w:color w:val="000000" w:themeColor="text1"/>
        </w:rPr>
        <w:t>4</w:t>
      </w:r>
      <w:r w:rsidR="00AC4F5B">
        <w:rPr>
          <w:rFonts w:ascii="Calibri" w:hAnsi="Calibri"/>
          <w:color w:val="000000" w:themeColor="text1"/>
        </w:rPr>
        <w:t>. Agents of EMIs</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C253AC"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253AC" w:rsidRPr="000019DA" w:rsidRDefault="000019DA" w:rsidP="00C253AC">
            <w:pPr>
              <w:pStyle w:val="ListParagraph"/>
              <w:spacing w:after="0" w:line="240" w:lineRule="auto"/>
              <w:ind w:left="0"/>
              <w:jc w:val="both"/>
              <w:rPr>
                <w:sz w:val="20"/>
                <w:szCs w:val="20"/>
              </w:rPr>
            </w:pPr>
            <w:r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C253AC" w:rsidRPr="00BD6920" w:rsidRDefault="00C253AC" w:rsidP="00C253AC">
            <w:pPr>
              <w:pStyle w:val="ListParagraph"/>
              <w:spacing w:after="0" w:line="240" w:lineRule="auto"/>
              <w:ind w:left="0"/>
              <w:jc w:val="both"/>
              <w:rPr>
                <w:sz w:val="18"/>
              </w:rPr>
            </w:pPr>
          </w:p>
        </w:tc>
      </w:tr>
    </w:tbl>
    <w:p w:rsidR="00AC4F5B" w:rsidRDefault="00AC4F5B"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AC4F5B">
        <w:rPr>
          <w:rFonts w:ascii="Calibri" w:hAnsi="Calibri"/>
          <w:color w:val="000000" w:themeColor="text1"/>
        </w:rPr>
        <w:t>.1</w:t>
      </w:r>
      <w:r w:rsidR="00E849BE">
        <w:rPr>
          <w:rFonts w:ascii="Calibri" w:hAnsi="Calibri"/>
          <w:color w:val="000000" w:themeColor="text1"/>
        </w:rPr>
        <w:t>5</w:t>
      </w:r>
      <w:r w:rsidR="00AC4F5B">
        <w:rPr>
          <w:rFonts w:ascii="Calibri" w:hAnsi="Calibri"/>
          <w:color w:val="000000" w:themeColor="text1"/>
        </w:rPr>
        <w:t xml:space="preserve">. Waived </w:t>
      </w:r>
      <w:r w:rsidR="008549BD">
        <w:rPr>
          <w:rFonts w:ascii="Calibri" w:hAnsi="Calibri"/>
          <w:color w:val="000000" w:themeColor="text1"/>
        </w:rPr>
        <w:t xml:space="preserve">EMIs </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C253AC"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253AC" w:rsidRDefault="001D4DF4">
            <w:pPr>
              <w:pStyle w:val="ListParagraph"/>
              <w:spacing w:after="0" w:line="240" w:lineRule="auto"/>
              <w:ind w:left="0"/>
              <w:jc w:val="both"/>
              <w:rPr>
                <w:sz w:val="20"/>
                <w:szCs w:val="20"/>
              </w:rPr>
            </w:pPr>
            <w:r>
              <w:rPr>
                <w:sz w:val="18"/>
              </w:rPr>
              <w:t xml:space="preserve"> </w:t>
            </w:r>
            <w:r w:rsidR="000019DA"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0019DA" w:rsidRPr="000019DA" w:rsidRDefault="000019DA">
            <w:pPr>
              <w:pStyle w:val="ListParagraph"/>
              <w:spacing w:after="0" w:line="240" w:lineRule="auto"/>
              <w:ind w:left="0"/>
              <w:jc w:val="both"/>
              <w:rPr>
                <w:sz w:val="20"/>
                <w:szCs w:val="20"/>
              </w:rPr>
            </w:pPr>
          </w:p>
        </w:tc>
      </w:tr>
    </w:tbl>
    <w:p w:rsidR="00C253AC" w:rsidRDefault="00C253AC"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AC4F5B">
        <w:rPr>
          <w:rFonts w:ascii="Calibri" w:hAnsi="Calibri"/>
          <w:color w:val="000000" w:themeColor="text1"/>
        </w:rPr>
        <w:t>.1</w:t>
      </w:r>
      <w:r w:rsidR="00E849BE">
        <w:rPr>
          <w:rFonts w:ascii="Calibri" w:hAnsi="Calibri"/>
          <w:color w:val="000000" w:themeColor="text1"/>
        </w:rPr>
        <w:t>6</w:t>
      </w:r>
      <w:r w:rsidR="00AC4F5B">
        <w:rPr>
          <w:rFonts w:ascii="Calibri" w:hAnsi="Calibri"/>
          <w:color w:val="000000" w:themeColor="text1"/>
        </w:rPr>
        <w:t xml:space="preserve">. Agents of waived </w:t>
      </w:r>
      <w:r w:rsidR="008549BD">
        <w:rPr>
          <w:rFonts w:ascii="Calibri" w:hAnsi="Calibri"/>
          <w:color w:val="000000" w:themeColor="text1"/>
        </w:rPr>
        <w:t>EMIs</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C253AC"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19DA" w:rsidRPr="00D54026" w:rsidRDefault="001D4DF4" w:rsidP="000019DA">
            <w:pPr>
              <w:pStyle w:val="ListParagraph"/>
              <w:spacing w:after="0" w:line="240" w:lineRule="auto"/>
              <w:ind w:left="0"/>
              <w:jc w:val="both"/>
              <w:rPr>
                <w:sz w:val="20"/>
                <w:szCs w:val="20"/>
              </w:rPr>
            </w:pPr>
            <w:r>
              <w:rPr>
                <w:sz w:val="18"/>
              </w:rPr>
              <w:t xml:space="preserve"> </w:t>
            </w:r>
            <w:r w:rsidR="000019DA" w:rsidRPr="00D54026">
              <w:rPr>
                <w:sz w:val="20"/>
                <w:szCs w:val="20"/>
              </w:rPr>
              <w:t>We believe that the information provided by and for all regulated entities needs to be the same, with the core information being information allowing them to be identified and details of their authorisations to be known.</w:t>
            </w:r>
          </w:p>
          <w:p w:rsidR="00C253AC" w:rsidRPr="00BD6920" w:rsidRDefault="00C253AC" w:rsidP="00C253AC">
            <w:pPr>
              <w:pStyle w:val="ListParagraph"/>
              <w:spacing w:after="0" w:line="240" w:lineRule="auto"/>
              <w:ind w:left="0"/>
              <w:jc w:val="both"/>
              <w:rPr>
                <w:sz w:val="18"/>
              </w:rPr>
            </w:pPr>
          </w:p>
        </w:tc>
      </w:tr>
    </w:tbl>
    <w:p w:rsidR="00C253AC" w:rsidRDefault="00C253AC" w:rsidP="00C253AC">
      <w:pPr>
        <w:pStyle w:val="ListParagraph"/>
        <w:spacing w:after="0" w:line="240" w:lineRule="auto"/>
        <w:ind w:left="360"/>
        <w:jc w:val="both"/>
        <w:rPr>
          <w:rFonts w:ascii="Calibri" w:hAnsi="Calibri"/>
          <w:color w:val="000000" w:themeColor="text1"/>
        </w:rPr>
      </w:pPr>
    </w:p>
    <w:p w:rsidR="00AC4F5B" w:rsidRDefault="00E7206F" w:rsidP="00C253AC">
      <w:pPr>
        <w:pStyle w:val="ListParagraph"/>
        <w:spacing w:after="0" w:line="240" w:lineRule="auto"/>
        <w:ind w:left="360"/>
        <w:jc w:val="both"/>
        <w:rPr>
          <w:rFonts w:ascii="Calibri" w:hAnsi="Calibri"/>
          <w:color w:val="000000" w:themeColor="text1"/>
        </w:rPr>
      </w:pPr>
      <w:r>
        <w:rPr>
          <w:rFonts w:ascii="Calibri" w:hAnsi="Calibri"/>
          <w:color w:val="000000" w:themeColor="text1"/>
        </w:rPr>
        <w:t>8</w:t>
      </w:r>
      <w:r w:rsidR="00AC4F5B">
        <w:rPr>
          <w:rFonts w:ascii="Calibri" w:hAnsi="Calibri"/>
          <w:color w:val="000000" w:themeColor="text1"/>
        </w:rPr>
        <w:t>.1</w:t>
      </w:r>
      <w:r w:rsidR="00E849BE">
        <w:rPr>
          <w:rFonts w:ascii="Calibri" w:hAnsi="Calibri"/>
          <w:color w:val="000000" w:themeColor="text1"/>
        </w:rPr>
        <w:t>7</w:t>
      </w:r>
      <w:r w:rsidR="00AC4F5B">
        <w:rPr>
          <w:rFonts w:ascii="Calibri" w:hAnsi="Calibri"/>
          <w:color w:val="000000" w:themeColor="text1"/>
        </w:rPr>
        <w:t>. Other</w:t>
      </w:r>
      <w:r w:rsidR="0092673F">
        <w:rPr>
          <w:rFonts w:ascii="Calibri" w:hAnsi="Calibri"/>
          <w:color w:val="000000" w:themeColor="text1"/>
        </w:rPr>
        <w:t xml:space="preserve"> (please specify) ……………………………………………………..</w:t>
      </w:r>
    </w:p>
    <w:tbl>
      <w:tblPr>
        <w:tblStyle w:val="TableGrid"/>
        <w:tblW w:w="0" w:type="auto"/>
        <w:tblInd w:w="817"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142"/>
      </w:tblGrid>
      <w:tr w:rsidR="00C253AC" w:rsidRPr="00BD6920" w:rsidTr="00C4246C">
        <w:trPr>
          <w:cnfStyle w:val="100000000000" w:firstRow="1" w:lastRow="0" w:firstColumn="0" w:lastColumn="0" w:oddVBand="0" w:evenVBand="0" w:oddHBand="0" w:evenHBand="0" w:firstRowFirstColumn="0" w:firstRowLastColumn="0" w:lastRowFirstColumn="0" w:lastRowLastColumn="0"/>
          <w:trHeight w:val="297"/>
        </w:trPr>
        <w:tc>
          <w:tcPr>
            <w:tcW w:w="8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253AC" w:rsidRDefault="00C253AC" w:rsidP="00C253AC">
            <w:pPr>
              <w:pStyle w:val="ListParagraph"/>
              <w:spacing w:after="0" w:line="240" w:lineRule="auto"/>
              <w:ind w:left="0"/>
              <w:jc w:val="both"/>
              <w:rPr>
                <w:sz w:val="18"/>
              </w:rPr>
            </w:pPr>
          </w:p>
          <w:p w:rsidR="00C253AC" w:rsidRPr="00BD6920" w:rsidRDefault="00C253AC" w:rsidP="00C253AC">
            <w:pPr>
              <w:pStyle w:val="ListParagraph"/>
              <w:spacing w:after="0" w:line="240" w:lineRule="auto"/>
              <w:ind w:left="0"/>
              <w:jc w:val="both"/>
              <w:rPr>
                <w:sz w:val="18"/>
              </w:rPr>
            </w:pPr>
          </w:p>
        </w:tc>
      </w:tr>
    </w:tbl>
    <w:p w:rsidR="00385139" w:rsidRPr="00385139" w:rsidRDefault="00385139" w:rsidP="00385139">
      <w:pPr>
        <w:pStyle w:val="ListParagraph"/>
        <w:ind w:left="284"/>
        <w:jc w:val="both"/>
        <w:rPr>
          <w:b/>
          <w:lang w:val="en-US"/>
        </w:rPr>
      </w:pPr>
    </w:p>
    <w:p w:rsidR="001F3C65" w:rsidRPr="001F3C65" w:rsidRDefault="001F3C65" w:rsidP="001F3C65">
      <w:pPr>
        <w:pStyle w:val="ListParagraph"/>
        <w:numPr>
          <w:ilvl w:val="0"/>
          <w:numId w:val="62"/>
        </w:numPr>
        <w:ind w:left="284" w:hanging="284"/>
        <w:jc w:val="both"/>
        <w:rPr>
          <w:b/>
          <w:lang w:val="en-US"/>
        </w:rPr>
      </w:pPr>
      <w:r w:rsidRPr="001F3C65">
        <w:rPr>
          <w:b/>
        </w:rPr>
        <w:t xml:space="preserve">Please indicate any additional </w:t>
      </w:r>
      <w:r>
        <w:rPr>
          <w:b/>
        </w:rPr>
        <w:t>aspects</w:t>
      </w:r>
      <w:r w:rsidR="002650B4">
        <w:rPr>
          <w:b/>
        </w:rPr>
        <w:t xml:space="preserve"> related to the EBA Register</w:t>
      </w:r>
      <w:r w:rsidR="00B05489">
        <w:rPr>
          <w:b/>
        </w:rPr>
        <w:t xml:space="preserve"> that</w:t>
      </w:r>
      <w:r>
        <w:rPr>
          <w:b/>
        </w:rPr>
        <w:t xml:space="preserve"> have not been covered in</w:t>
      </w:r>
      <w:r w:rsidR="002650B4">
        <w:rPr>
          <w:b/>
        </w:rPr>
        <w:t xml:space="preserve"> </w:t>
      </w:r>
      <w:r>
        <w:rPr>
          <w:b/>
        </w:rPr>
        <w:t xml:space="preserve">the questions above, </w:t>
      </w:r>
      <w:r w:rsidRPr="001F3C65">
        <w:rPr>
          <w:b/>
        </w:rPr>
        <w:t xml:space="preserve">that you might deem relevant for the purposes of </w:t>
      </w:r>
      <w:r w:rsidR="00FA6FF7">
        <w:rPr>
          <w:b/>
        </w:rPr>
        <w:t>its</w:t>
      </w:r>
      <w:r w:rsidRPr="001F3C65">
        <w:rPr>
          <w:b/>
        </w:rPr>
        <w:t xml:space="preserve"> </w:t>
      </w:r>
      <w:r>
        <w:rPr>
          <w:b/>
        </w:rPr>
        <w:t>establishment and operation</w:t>
      </w:r>
      <w:r w:rsidRPr="001F3C65">
        <w:rPr>
          <w:b/>
        </w:rPr>
        <w:t>:</w:t>
      </w:r>
    </w:p>
    <w:tbl>
      <w:tblPr>
        <w:tblStyle w:val="TableGrid"/>
        <w:tblW w:w="0" w:type="auto"/>
        <w:tblInd w:w="108"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851"/>
      </w:tblGrid>
      <w:tr w:rsidR="001F3C65" w:rsidRPr="00BD6920" w:rsidTr="00EF7FBC">
        <w:trPr>
          <w:cnfStyle w:val="100000000000" w:firstRow="1" w:lastRow="0" w:firstColumn="0" w:lastColumn="0" w:oddVBand="0" w:evenVBand="0" w:oddHBand="0" w:evenHBand="0" w:firstRowFirstColumn="0" w:firstRowLastColumn="0" w:lastRowFirstColumn="0" w:lastRowLastColumn="0"/>
          <w:trHeight w:val="297"/>
        </w:trPr>
        <w:tc>
          <w:tcPr>
            <w:tcW w:w="8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61206" w:rsidRPr="000019DA" w:rsidRDefault="00E61206" w:rsidP="00EF7FBC">
            <w:pPr>
              <w:pStyle w:val="ListParagraph"/>
              <w:spacing w:after="0" w:line="240" w:lineRule="auto"/>
              <w:ind w:left="0"/>
              <w:jc w:val="both"/>
              <w:rPr>
                <w:sz w:val="20"/>
                <w:szCs w:val="20"/>
              </w:rPr>
            </w:pPr>
            <w:r w:rsidRPr="000019DA">
              <w:rPr>
                <w:sz w:val="20"/>
                <w:szCs w:val="20"/>
              </w:rPr>
              <w:t>All information should be easily accessible and search facilities provided free of charge to Payment institutions who are registered with appropriate Competent Authorities.</w:t>
            </w:r>
          </w:p>
          <w:p w:rsidR="001F3C65" w:rsidRPr="00BD6920" w:rsidRDefault="001F3C65" w:rsidP="00EF7FBC">
            <w:pPr>
              <w:pStyle w:val="ListParagraph"/>
              <w:spacing w:after="0" w:line="240" w:lineRule="auto"/>
              <w:ind w:left="0"/>
              <w:jc w:val="both"/>
              <w:rPr>
                <w:sz w:val="18"/>
              </w:rPr>
            </w:pPr>
          </w:p>
        </w:tc>
      </w:tr>
    </w:tbl>
    <w:p w:rsidR="00224C91" w:rsidRDefault="00224C91" w:rsidP="0040026F">
      <w:pPr>
        <w:jc w:val="both"/>
        <w:rPr>
          <w:rFonts w:ascii="Calibri" w:eastAsia="Calibri" w:hAnsi="Calibri"/>
          <w:color w:val="2F5773"/>
          <w:spacing w:val="3"/>
          <w:sz w:val="44"/>
          <w:szCs w:val="44"/>
          <w:u w:val="thick" w:color="2F5773"/>
        </w:rPr>
      </w:pPr>
      <w:bookmarkStart w:id="5" w:name="_GoBack"/>
      <w:bookmarkEnd w:id="5"/>
    </w:p>
    <w:p w:rsidR="0040026F" w:rsidRDefault="0040026F" w:rsidP="0040026F">
      <w:pPr>
        <w:jc w:val="both"/>
        <w:rPr>
          <w:rFonts w:ascii="Calibri" w:eastAsia="Calibri" w:hAnsi="Calibri"/>
          <w:color w:val="2F5773"/>
          <w:spacing w:val="3"/>
          <w:sz w:val="44"/>
          <w:szCs w:val="44"/>
          <w:u w:val="thick" w:color="2F5773"/>
        </w:rPr>
      </w:pPr>
      <w:r>
        <w:rPr>
          <w:rFonts w:ascii="Calibri" w:eastAsia="Calibri" w:hAnsi="Calibri"/>
          <w:color w:val="2F5773"/>
          <w:spacing w:val="3"/>
          <w:sz w:val="44"/>
          <w:szCs w:val="44"/>
          <w:u w:val="thick" w:color="2F5773"/>
        </w:rPr>
        <w:t>Annex:</w:t>
      </w:r>
      <w:r>
        <w:rPr>
          <w:rFonts w:ascii="Calibri" w:eastAsia="Calibri" w:hAnsi="Calibri"/>
          <w:color w:val="2F5773"/>
          <w:spacing w:val="2"/>
          <w:sz w:val="44"/>
          <w:szCs w:val="44"/>
          <w:u w:val="thick" w:color="2F5773"/>
        </w:rPr>
        <w:t xml:space="preserve"> wording of </w:t>
      </w:r>
      <w:r>
        <w:rPr>
          <w:rFonts w:ascii="Calibri" w:eastAsia="Calibri" w:hAnsi="Calibri"/>
          <w:color w:val="2F5773"/>
          <w:spacing w:val="3"/>
          <w:sz w:val="44"/>
          <w:szCs w:val="44"/>
          <w:u w:val="thick" w:color="2F5773"/>
        </w:rPr>
        <w:t>Articles o</w:t>
      </w:r>
      <w:r>
        <w:rPr>
          <w:rFonts w:ascii="Calibri" w:eastAsia="Calibri" w:hAnsi="Calibri"/>
          <w:color w:val="2F5773"/>
          <w:spacing w:val="10"/>
          <w:sz w:val="44"/>
          <w:szCs w:val="44"/>
          <w:u w:val="thick" w:color="2F5773"/>
        </w:rPr>
        <w:t xml:space="preserve">f </w:t>
      </w:r>
      <w:r>
        <w:rPr>
          <w:rFonts w:ascii="Calibri" w:eastAsia="Calibri" w:hAnsi="Calibri"/>
          <w:color w:val="2F5773"/>
          <w:spacing w:val="3"/>
          <w:sz w:val="44"/>
          <w:szCs w:val="44"/>
          <w:u w:val="thick" w:color="2F5773"/>
        </w:rPr>
        <w:t>PSD2</w:t>
      </w:r>
    </w:p>
    <w:p w:rsidR="0040026F" w:rsidRPr="002F5D5B" w:rsidRDefault="0040026F" w:rsidP="0040026F">
      <w:pPr>
        <w:jc w:val="both"/>
        <w:rPr>
          <w:rFonts w:ascii="Calibri" w:eastAsia="Calibri" w:hAnsi="Calibri"/>
          <w:color w:val="2F5773"/>
          <w:spacing w:val="3"/>
          <w:szCs w:val="22"/>
          <w:u w:val="thick" w:color="2F5773"/>
        </w:rPr>
      </w:pPr>
    </w:p>
    <w:p w:rsidR="0040026F" w:rsidRPr="00AA4A29" w:rsidRDefault="0040026F" w:rsidP="0040026F">
      <w:pPr>
        <w:pStyle w:val="CM4"/>
        <w:spacing w:before="120" w:after="120"/>
        <w:jc w:val="center"/>
        <w:rPr>
          <w:rFonts w:asciiTheme="minorHAnsi" w:hAnsiTheme="minorHAnsi" w:cs="EUAlbertina"/>
          <w:i/>
          <w:color w:val="19161B"/>
          <w:sz w:val="22"/>
          <w:szCs w:val="22"/>
        </w:rPr>
      </w:pPr>
      <w:r w:rsidRPr="00AA4A29">
        <w:rPr>
          <w:rFonts w:asciiTheme="minorHAnsi" w:hAnsiTheme="minorHAnsi" w:cs="EUAlbertina"/>
          <w:i/>
          <w:iCs/>
          <w:color w:val="19161B"/>
          <w:sz w:val="22"/>
          <w:szCs w:val="22"/>
        </w:rPr>
        <w:t>Article 3</w:t>
      </w:r>
    </w:p>
    <w:p w:rsidR="0040026F" w:rsidRPr="00AA4A29" w:rsidRDefault="0040026F" w:rsidP="0040026F">
      <w:pPr>
        <w:spacing w:before="120" w:after="120"/>
        <w:jc w:val="center"/>
        <w:rPr>
          <w:rFonts w:cs="EUAlbertina"/>
          <w:b/>
          <w:bCs/>
          <w:i/>
          <w:color w:val="19161B"/>
          <w:szCs w:val="22"/>
        </w:rPr>
      </w:pPr>
      <w:r w:rsidRPr="00AA4A29">
        <w:rPr>
          <w:rFonts w:cs="EUAlbertina"/>
          <w:b/>
          <w:bCs/>
          <w:i/>
          <w:color w:val="19161B"/>
          <w:szCs w:val="22"/>
        </w:rPr>
        <w:t>Exclusions</w:t>
      </w:r>
    </w:p>
    <w:p w:rsidR="0040026F" w:rsidRPr="00AA4A29" w:rsidRDefault="0040026F" w:rsidP="0040026F">
      <w:pPr>
        <w:spacing w:before="120" w:after="120"/>
        <w:jc w:val="center"/>
        <w:rPr>
          <w:b/>
          <w:i/>
          <w:szCs w:val="22"/>
        </w:rPr>
      </w:pPr>
    </w:p>
    <w:p w:rsidR="0040026F" w:rsidRPr="00AA4A29" w:rsidRDefault="0040026F" w:rsidP="0040026F">
      <w:pPr>
        <w:pStyle w:val="numberedparagraph"/>
        <w:numPr>
          <w:ilvl w:val="0"/>
          <w:numId w:val="0"/>
        </w:numPr>
        <w:spacing w:before="120" w:line="240" w:lineRule="auto"/>
        <w:rPr>
          <w:rFonts w:cs="EUAlbertina"/>
          <w:i/>
          <w:color w:val="19161B"/>
          <w:szCs w:val="22"/>
        </w:rPr>
      </w:pPr>
      <w:r w:rsidRPr="00AA4A29">
        <w:rPr>
          <w:rFonts w:cs="EUAlbertina"/>
          <w:i/>
          <w:color w:val="19161B"/>
          <w:szCs w:val="22"/>
        </w:rPr>
        <w:t>This Directive does not apply to the following:</w:t>
      </w:r>
    </w:p>
    <w:p w:rsidR="0040026F" w:rsidRDefault="0040026F" w:rsidP="0040026F">
      <w:pPr>
        <w:pStyle w:val="numberedparagraph"/>
        <w:numPr>
          <w:ilvl w:val="0"/>
          <w:numId w:val="0"/>
        </w:numPr>
        <w:spacing w:before="120" w:line="240" w:lineRule="auto"/>
        <w:ind w:left="284" w:hanging="284"/>
        <w:rPr>
          <w:i/>
          <w:szCs w:val="22"/>
          <w:lang w:val="en-GB"/>
        </w:rPr>
      </w:pPr>
    </w:p>
    <w:p w:rsidR="0040026F" w:rsidRPr="00AA4A29" w:rsidRDefault="0040026F" w:rsidP="0040026F">
      <w:pPr>
        <w:pStyle w:val="numberedparagraph"/>
        <w:numPr>
          <w:ilvl w:val="0"/>
          <w:numId w:val="0"/>
        </w:numPr>
        <w:spacing w:before="120" w:line="240" w:lineRule="auto"/>
        <w:ind w:left="284" w:hanging="284"/>
        <w:rPr>
          <w:i/>
          <w:szCs w:val="22"/>
          <w:lang w:val="en-GB"/>
        </w:rPr>
      </w:pPr>
      <w:r w:rsidRPr="00AA4A29">
        <w:rPr>
          <w:i/>
          <w:szCs w:val="22"/>
          <w:lang w:val="en-GB"/>
        </w:rPr>
        <w:t>(k) services based on specific payment instruments that can be used only in a limited way, that meet one of the following conditions:</w:t>
      </w:r>
    </w:p>
    <w:p w:rsidR="0040026F" w:rsidRPr="00AA4A29" w:rsidRDefault="0040026F" w:rsidP="0040026F">
      <w:pPr>
        <w:pStyle w:val="numberedparagraph"/>
        <w:numPr>
          <w:ilvl w:val="0"/>
          <w:numId w:val="0"/>
        </w:numPr>
        <w:spacing w:before="120" w:line="240" w:lineRule="auto"/>
        <w:ind w:left="709" w:hanging="425"/>
        <w:rPr>
          <w:i/>
          <w:szCs w:val="22"/>
          <w:lang w:val="en-GB"/>
        </w:rPr>
      </w:pPr>
      <w:r w:rsidRPr="00AA4A29">
        <w:rPr>
          <w:i/>
          <w:szCs w:val="22"/>
          <w:lang w:val="en-GB"/>
        </w:rPr>
        <w:t>(</w:t>
      </w:r>
      <w:proofErr w:type="spellStart"/>
      <w:r w:rsidRPr="00AA4A29">
        <w:rPr>
          <w:i/>
          <w:szCs w:val="22"/>
          <w:lang w:val="en-GB"/>
        </w:rPr>
        <w:t>i</w:t>
      </w:r>
      <w:proofErr w:type="spellEnd"/>
      <w:r w:rsidRPr="00AA4A29">
        <w:rPr>
          <w:i/>
          <w:szCs w:val="22"/>
          <w:lang w:val="en-GB"/>
        </w:rPr>
        <w:t xml:space="preserve">) </w:t>
      </w:r>
      <w:r w:rsidRPr="00AA4A29">
        <w:rPr>
          <w:i/>
          <w:szCs w:val="22"/>
          <w:lang w:val="en-GB"/>
        </w:rPr>
        <w:tab/>
        <w:t>instruments allowing the holder to acquire goods or services only in the premises of the issuer or within a limited network of service providers under direct commercial agreement with a professional issuer;</w:t>
      </w:r>
    </w:p>
    <w:p w:rsidR="0040026F" w:rsidRPr="00AA4A29" w:rsidRDefault="0040026F" w:rsidP="0040026F">
      <w:pPr>
        <w:pStyle w:val="numberedparagraph"/>
        <w:numPr>
          <w:ilvl w:val="0"/>
          <w:numId w:val="0"/>
        </w:numPr>
        <w:tabs>
          <w:tab w:val="left" w:pos="709"/>
        </w:tabs>
        <w:spacing w:before="120" w:line="240" w:lineRule="auto"/>
        <w:ind w:firstLine="284"/>
        <w:rPr>
          <w:i/>
        </w:rPr>
      </w:pPr>
      <w:r w:rsidRPr="00AA4A29">
        <w:rPr>
          <w:i/>
          <w:szCs w:val="22"/>
          <w:lang w:val="en-GB"/>
        </w:rPr>
        <w:t>(ii)</w:t>
      </w:r>
      <w:r w:rsidRPr="00AA4A29">
        <w:rPr>
          <w:i/>
          <w:szCs w:val="22"/>
          <w:lang w:val="en-GB"/>
        </w:rPr>
        <w:tab/>
      </w:r>
      <w:r w:rsidRPr="00AA4A29">
        <w:rPr>
          <w:i/>
          <w:szCs w:val="22"/>
          <w:lang w:val="en-GB"/>
        </w:rPr>
        <w:tab/>
        <w:t>instruments which can be used only to acquire a very limited range of goods or services;</w:t>
      </w:r>
      <w:r w:rsidRPr="00AA4A29">
        <w:rPr>
          <w:i/>
        </w:rPr>
        <w:t xml:space="preserve"> </w:t>
      </w:r>
    </w:p>
    <w:p w:rsidR="0040026F" w:rsidRPr="00AA4A29" w:rsidRDefault="0040026F" w:rsidP="0040026F">
      <w:pPr>
        <w:pStyle w:val="numberedparagraph"/>
        <w:numPr>
          <w:ilvl w:val="0"/>
          <w:numId w:val="0"/>
        </w:numPr>
        <w:spacing w:before="120" w:line="240" w:lineRule="auto"/>
        <w:ind w:left="709" w:hanging="425"/>
        <w:rPr>
          <w:i/>
          <w:szCs w:val="22"/>
          <w:lang w:val="en-GB"/>
        </w:rPr>
      </w:pPr>
      <w:r w:rsidRPr="00AA4A29">
        <w:rPr>
          <w:i/>
          <w:szCs w:val="22"/>
          <w:lang w:val="en-GB"/>
        </w:rPr>
        <w:t xml:space="preserve">(iii) </w:t>
      </w:r>
      <w:r w:rsidRPr="00AA4A29">
        <w:rPr>
          <w:i/>
          <w:szCs w:val="22"/>
          <w:lang w:val="en-GB"/>
        </w:rPr>
        <w:tab/>
        <w:t>instruments valid only in a single Member State provided at the request of an undertaking or a public sector entity and regulated by a national or regional public authority for specific social or tax purposes to acquire specific goods or services from suppliers having a commercial agreement with the issuer;</w:t>
      </w:r>
    </w:p>
    <w:p w:rsidR="0040026F" w:rsidRPr="00AA4A29" w:rsidRDefault="0040026F" w:rsidP="0040026F">
      <w:pPr>
        <w:pStyle w:val="numberedparagraph"/>
        <w:numPr>
          <w:ilvl w:val="0"/>
          <w:numId w:val="0"/>
        </w:numPr>
        <w:spacing w:before="120" w:line="240" w:lineRule="auto"/>
        <w:ind w:left="709" w:hanging="425"/>
        <w:rPr>
          <w:i/>
          <w:szCs w:val="22"/>
          <w:lang w:val="en-GB"/>
        </w:rPr>
      </w:pPr>
    </w:p>
    <w:p w:rsidR="0040026F" w:rsidRPr="00AA4A29" w:rsidRDefault="0040026F" w:rsidP="0040026F">
      <w:pPr>
        <w:pStyle w:val="numberedparagraph"/>
        <w:numPr>
          <w:ilvl w:val="0"/>
          <w:numId w:val="0"/>
        </w:numPr>
        <w:spacing w:before="120" w:line="240" w:lineRule="auto"/>
        <w:ind w:left="284" w:hanging="284"/>
        <w:rPr>
          <w:i/>
          <w:szCs w:val="22"/>
          <w:lang w:val="en-GB"/>
        </w:rPr>
      </w:pPr>
      <w:r w:rsidRPr="00AA4A29">
        <w:rPr>
          <w:i/>
          <w:szCs w:val="22"/>
          <w:lang w:val="en-GB"/>
        </w:rPr>
        <w:t>(l) payment transactions by a provider of electronic communications networks or services provided in addition to electronic communications services for a subscriber to the network or service:</w:t>
      </w:r>
    </w:p>
    <w:p w:rsidR="0040026F" w:rsidRPr="00AA4A29" w:rsidRDefault="0040026F" w:rsidP="0040026F">
      <w:pPr>
        <w:pStyle w:val="numberedparagraph"/>
        <w:numPr>
          <w:ilvl w:val="0"/>
          <w:numId w:val="0"/>
        </w:numPr>
        <w:spacing w:before="120" w:line="240" w:lineRule="auto"/>
        <w:ind w:left="709" w:hanging="425"/>
        <w:rPr>
          <w:i/>
          <w:szCs w:val="22"/>
          <w:lang w:val="en-GB"/>
        </w:rPr>
      </w:pPr>
      <w:r w:rsidRPr="00AA4A29">
        <w:rPr>
          <w:i/>
          <w:szCs w:val="22"/>
          <w:lang w:val="en-GB"/>
        </w:rPr>
        <w:t>(</w:t>
      </w:r>
      <w:proofErr w:type="spellStart"/>
      <w:r w:rsidRPr="00AA4A29">
        <w:rPr>
          <w:i/>
          <w:szCs w:val="22"/>
          <w:lang w:val="en-GB"/>
        </w:rPr>
        <w:t>i</w:t>
      </w:r>
      <w:proofErr w:type="spellEnd"/>
      <w:r w:rsidRPr="00AA4A29">
        <w:rPr>
          <w:i/>
          <w:szCs w:val="22"/>
          <w:lang w:val="en-GB"/>
        </w:rPr>
        <w:t xml:space="preserve">) </w:t>
      </w:r>
      <w:r w:rsidRPr="00AA4A29">
        <w:rPr>
          <w:i/>
          <w:szCs w:val="22"/>
          <w:lang w:val="en-GB"/>
        </w:rPr>
        <w:tab/>
        <w:t>for purchase of digital content and voice-based services, regardless of the device used for the purchase or consumption of the digital content and charged to the related bill; or</w:t>
      </w:r>
    </w:p>
    <w:p w:rsidR="0040026F" w:rsidRPr="00AA4A29" w:rsidRDefault="0040026F" w:rsidP="0040026F">
      <w:pPr>
        <w:pStyle w:val="numberedparagraph"/>
        <w:numPr>
          <w:ilvl w:val="0"/>
          <w:numId w:val="0"/>
        </w:numPr>
        <w:spacing w:before="120" w:line="240" w:lineRule="auto"/>
        <w:ind w:left="709" w:hanging="425"/>
        <w:rPr>
          <w:i/>
          <w:szCs w:val="22"/>
          <w:lang w:val="en-GB"/>
        </w:rPr>
      </w:pPr>
      <w:r w:rsidRPr="00AA4A29">
        <w:rPr>
          <w:i/>
          <w:szCs w:val="22"/>
          <w:lang w:val="en-GB"/>
        </w:rPr>
        <w:t xml:space="preserve">(ii) </w:t>
      </w:r>
      <w:r w:rsidRPr="00AA4A29">
        <w:rPr>
          <w:i/>
          <w:szCs w:val="22"/>
          <w:lang w:val="en-GB"/>
        </w:rPr>
        <w:tab/>
        <w:t>performed from or via an electronic device and charged to the related bill within the framework of a charitable activity or for the purchase of tickets;</w:t>
      </w:r>
    </w:p>
    <w:p w:rsidR="0040026F" w:rsidRPr="00AA4A29" w:rsidRDefault="0040026F" w:rsidP="0040026F">
      <w:pPr>
        <w:pStyle w:val="numberedparagraph"/>
        <w:numPr>
          <w:ilvl w:val="0"/>
          <w:numId w:val="0"/>
        </w:numPr>
        <w:spacing w:before="120" w:line="240" w:lineRule="auto"/>
        <w:ind w:left="284"/>
        <w:rPr>
          <w:i/>
          <w:szCs w:val="22"/>
          <w:lang w:val="en-GB"/>
        </w:rPr>
      </w:pPr>
      <w:r w:rsidRPr="00AA4A29">
        <w:rPr>
          <w:i/>
          <w:szCs w:val="22"/>
          <w:lang w:val="en-GB"/>
        </w:rPr>
        <w:t>provided that the value of any single payment transaction referred to in points (</w:t>
      </w:r>
      <w:proofErr w:type="spellStart"/>
      <w:r w:rsidRPr="00AA4A29">
        <w:rPr>
          <w:i/>
          <w:szCs w:val="22"/>
          <w:lang w:val="en-GB"/>
        </w:rPr>
        <w:t>i</w:t>
      </w:r>
      <w:proofErr w:type="spellEnd"/>
      <w:r w:rsidRPr="00AA4A29">
        <w:rPr>
          <w:i/>
          <w:szCs w:val="22"/>
          <w:lang w:val="en-GB"/>
        </w:rPr>
        <w:t>) and (ii) does not exceed EUR 50 and:</w:t>
      </w:r>
    </w:p>
    <w:p w:rsidR="0040026F" w:rsidRPr="00AA4A29" w:rsidRDefault="0040026F" w:rsidP="0040026F">
      <w:pPr>
        <w:pStyle w:val="numberedparagraph"/>
        <w:numPr>
          <w:ilvl w:val="0"/>
          <w:numId w:val="0"/>
        </w:numPr>
        <w:spacing w:before="120" w:line="240" w:lineRule="auto"/>
        <w:ind w:left="709" w:hanging="425"/>
        <w:rPr>
          <w:i/>
          <w:szCs w:val="22"/>
          <w:lang w:val="en-GB"/>
        </w:rPr>
      </w:pPr>
      <w:r w:rsidRPr="00AA4A29">
        <w:rPr>
          <w:i/>
          <w:szCs w:val="22"/>
          <w:lang w:val="en-GB"/>
        </w:rPr>
        <w:t xml:space="preserve">— </w:t>
      </w:r>
      <w:r w:rsidRPr="00AA4A29">
        <w:rPr>
          <w:i/>
          <w:szCs w:val="22"/>
          <w:lang w:val="en-GB"/>
        </w:rPr>
        <w:tab/>
        <w:t>the cumulative value of payment transactions for an individual subscriber does not exceed EUR 300 per month, or</w:t>
      </w:r>
    </w:p>
    <w:p w:rsidR="0040026F" w:rsidRPr="00AA4A29" w:rsidRDefault="0040026F" w:rsidP="0040026F">
      <w:pPr>
        <w:pStyle w:val="numberedparagraph"/>
        <w:numPr>
          <w:ilvl w:val="0"/>
          <w:numId w:val="0"/>
        </w:numPr>
        <w:spacing w:before="120" w:line="240" w:lineRule="auto"/>
        <w:ind w:left="709" w:hanging="425"/>
        <w:rPr>
          <w:i/>
          <w:szCs w:val="22"/>
          <w:lang w:val="en-GB"/>
        </w:rPr>
      </w:pPr>
      <w:r w:rsidRPr="00AA4A29">
        <w:rPr>
          <w:i/>
          <w:szCs w:val="22"/>
          <w:lang w:val="en-GB"/>
        </w:rPr>
        <w:t xml:space="preserve">— </w:t>
      </w:r>
      <w:r w:rsidRPr="00AA4A29">
        <w:rPr>
          <w:i/>
          <w:szCs w:val="22"/>
          <w:lang w:val="en-GB"/>
        </w:rPr>
        <w:tab/>
        <w:t>where a subscriber pre-funds its account with the provider of the electronic communications</w:t>
      </w:r>
      <w:r w:rsidRPr="00AA4A29">
        <w:rPr>
          <w:i/>
        </w:rPr>
        <w:t xml:space="preserve"> </w:t>
      </w:r>
      <w:r w:rsidRPr="00AA4A29">
        <w:rPr>
          <w:i/>
          <w:szCs w:val="22"/>
          <w:lang w:val="en-GB"/>
        </w:rPr>
        <w:t>network or service, the cumulative value of payment transactions does not exceed EUR 300 per month;</w:t>
      </w:r>
    </w:p>
    <w:p w:rsidR="0040026F" w:rsidRDefault="0040026F" w:rsidP="0040026F">
      <w:pPr>
        <w:pStyle w:val="numberedparagraph"/>
        <w:numPr>
          <w:ilvl w:val="0"/>
          <w:numId w:val="0"/>
        </w:numPr>
        <w:spacing w:before="0" w:after="0" w:line="240" w:lineRule="auto"/>
        <w:ind w:left="284" w:hanging="284"/>
        <w:rPr>
          <w:szCs w:val="22"/>
          <w:lang w:val="en-GB"/>
        </w:rPr>
      </w:pPr>
    </w:p>
    <w:p w:rsidR="0040026F" w:rsidRPr="00AA4A29" w:rsidRDefault="0040026F" w:rsidP="0040026F">
      <w:pPr>
        <w:pStyle w:val="CM4"/>
        <w:spacing w:before="120" w:after="120"/>
        <w:jc w:val="center"/>
        <w:rPr>
          <w:rFonts w:asciiTheme="minorHAnsi" w:hAnsiTheme="minorHAnsi"/>
          <w:i/>
          <w:sz w:val="22"/>
          <w:szCs w:val="22"/>
        </w:rPr>
      </w:pPr>
      <w:r w:rsidRPr="00AA4A29">
        <w:rPr>
          <w:rFonts w:asciiTheme="minorHAnsi" w:hAnsiTheme="minorHAnsi"/>
          <w:i/>
          <w:sz w:val="22"/>
          <w:szCs w:val="22"/>
        </w:rPr>
        <w:t>Article 32</w:t>
      </w:r>
    </w:p>
    <w:p w:rsidR="0040026F" w:rsidRPr="00AA4A29" w:rsidRDefault="0040026F" w:rsidP="0040026F">
      <w:pPr>
        <w:pStyle w:val="CM4"/>
        <w:spacing w:before="120" w:after="120"/>
        <w:jc w:val="center"/>
        <w:rPr>
          <w:rFonts w:asciiTheme="minorHAnsi" w:hAnsiTheme="minorHAnsi"/>
          <w:b/>
          <w:i/>
          <w:sz w:val="22"/>
          <w:szCs w:val="22"/>
        </w:rPr>
      </w:pPr>
      <w:r w:rsidRPr="00AA4A29">
        <w:rPr>
          <w:rFonts w:asciiTheme="minorHAnsi" w:hAnsiTheme="minorHAnsi"/>
          <w:b/>
          <w:i/>
          <w:sz w:val="22"/>
          <w:szCs w:val="22"/>
        </w:rPr>
        <w:t>Conditions</w:t>
      </w:r>
    </w:p>
    <w:p w:rsidR="0040026F" w:rsidRPr="00AA4A29" w:rsidRDefault="0040026F" w:rsidP="0040026F">
      <w:pPr>
        <w:pStyle w:val="CM4"/>
        <w:spacing w:before="120" w:after="120"/>
        <w:jc w:val="both"/>
        <w:rPr>
          <w:rFonts w:asciiTheme="minorHAnsi" w:hAnsiTheme="minorHAnsi"/>
          <w:i/>
          <w:sz w:val="22"/>
          <w:szCs w:val="22"/>
        </w:rPr>
      </w:pPr>
      <w:r w:rsidRPr="00AA4A29">
        <w:rPr>
          <w:rFonts w:asciiTheme="minorHAnsi" w:hAnsiTheme="minorHAnsi"/>
          <w:i/>
          <w:sz w:val="22"/>
          <w:szCs w:val="22"/>
        </w:rPr>
        <w:t xml:space="preserve">1. Member States may exempt or allow their competent authorities to exempt, natural or legal persons providing payment services as referred to in points (1) to (6) of Annex I from the application of all or part of the procedure and conditions set out in Sections 1, 2 and 3, with the exception of Articles 14, 15, 22, 24, 25 and 26, where: </w:t>
      </w:r>
    </w:p>
    <w:p w:rsidR="0040026F" w:rsidRPr="00AA4A29" w:rsidRDefault="0040026F" w:rsidP="0040026F">
      <w:pPr>
        <w:pStyle w:val="CM4"/>
        <w:spacing w:before="120" w:after="120"/>
        <w:ind w:left="284" w:hanging="284"/>
        <w:jc w:val="both"/>
        <w:rPr>
          <w:rFonts w:asciiTheme="minorHAnsi" w:hAnsiTheme="minorHAnsi"/>
          <w:i/>
          <w:sz w:val="22"/>
          <w:szCs w:val="22"/>
        </w:rPr>
      </w:pPr>
      <w:r w:rsidRPr="00AA4A29">
        <w:rPr>
          <w:rFonts w:asciiTheme="minorHAnsi" w:hAnsiTheme="minorHAnsi"/>
          <w:i/>
          <w:sz w:val="22"/>
          <w:szCs w:val="22"/>
        </w:rPr>
        <w:lastRenderedPageBreak/>
        <w:t xml:space="preserve">(a) the monthly average of the preceding 12 months’ total value of payment transactions executed by the person concerned, including any agent for which it assumes full responsibility, does not exceed a limit set by the Member State but that, in any event, amounts to no more than EUR 3 million. That requirement shall be assessed on the projected total amount of payment transactions in its business plan, unless an adjustment to that plan is required by the competent authorities; and </w:t>
      </w:r>
    </w:p>
    <w:p w:rsidR="0040026F" w:rsidRPr="00AA4A29" w:rsidRDefault="0040026F" w:rsidP="0040026F">
      <w:pPr>
        <w:pStyle w:val="CM4"/>
        <w:spacing w:before="120" w:after="120"/>
        <w:ind w:left="284" w:hanging="284"/>
        <w:jc w:val="both"/>
        <w:rPr>
          <w:rFonts w:asciiTheme="minorHAnsi" w:hAnsiTheme="minorHAnsi"/>
          <w:i/>
          <w:sz w:val="22"/>
          <w:szCs w:val="22"/>
        </w:rPr>
      </w:pPr>
      <w:r w:rsidRPr="00AA4A29">
        <w:rPr>
          <w:rFonts w:asciiTheme="minorHAnsi" w:hAnsiTheme="minorHAnsi"/>
          <w:i/>
          <w:sz w:val="22"/>
          <w:szCs w:val="22"/>
        </w:rPr>
        <w:t xml:space="preserve">(b) none of the natural persons responsible for the management or operation of the business has been convicted of offences relating to money laundering or terrorist financing or other financial crimes. </w:t>
      </w:r>
    </w:p>
    <w:p w:rsidR="0040026F" w:rsidRPr="00AA4A29" w:rsidRDefault="0040026F" w:rsidP="0040026F">
      <w:pPr>
        <w:pStyle w:val="CM4"/>
        <w:spacing w:before="120" w:after="120"/>
        <w:jc w:val="both"/>
        <w:rPr>
          <w:rFonts w:asciiTheme="minorHAnsi" w:hAnsiTheme="minorHAnsi"/>
          <w:i/>
          <w:sz w:val="22"/>
          <w:szCs w:val="22"/>
        </w:rPr>
      </w:pPr>
      <w:r w:rsidRPr="00AA4A29">
        <w:rPr>
          <w:rFonts w:asciiTheme="minorHAnsi" w:hAnsiTheme="minorHAnsi"/>
          <w:i/>
          <w:sz w:val="22"/>
          <w:szCs w:val="22"/>
        </w:rPr>
        <w:t xml:space="preserve">2. Any natural or legal person registered in accordance with paragraph 1 shall be required to have its head office or place of residence in the Member State in which it actually carries out its business. </w:t>
      </w:r>
    </w:p>
    <w:p w:rsidR="0040026F" w:rsidRPr="00AA4A29" w:rsidRDefault="0040026F" w:rsidP="0040026F">
      <w:pPr>
        <w:pStyle w:val="CM4"/>
        <w:spacing w:before="120" w:after="120"/>
        <w:jc w:val="both"/>
        <w:rPr>
          <w:rFonts w:asciiTheme="minorHAnsi" w:hAnsiTheme="minorHAnsi"/>
          <w:i/>
          <w:sz w:val="22"/>
          <w:szCs w:val="22"/>
        </w:rPr>
      </w:pPr>
      <w:r w:rsidRPr="00AA4A29">
        <w:rPr>
          <w:rFonts w:asciiTheme="minorHAnsi" w:hAnsiTheme="minorHAnsi"/>
          <w:i/>
          <w:sz w:val="22"/>
          <w:szCs w:val="22"/>
        </w:rPr>
        <w:t xml:space="preserve">3. The persons referred to in paragraph 1 of this Article shall be treated as payment institutions, save that Article 11(9) and Articles 28, 29 and 30 shall not apply to them. </w:t>
      </w:r>
    </w:p>
    <w:p w:rsidR="0040026F" w:rsidRPr="00AA4A29" w:rsidRDefault="0040026F" w:rsidP="0040026F">
      <w:pPr>
        <w:pStyle w:val="CM4"/>
        <w:spacing w:before="120" w:after="120"/>
        <w:jc w:val="both"/>
        <w:rPr>
          <w:rFonts w:asciiTheme="minorHAnsi" w:hAnsiTheme="minorHAnsi"/>
          <w:i/>
          <w:sz w:val="22"/>
          <w:szCs w:val="22"/>
        </w:rPr>
      </w:pPr>
      <w:r w:rsidRPr="00AA4A29">
        <w:rPr>
          <w:rFonts w:asciiTheme="minorHAnsi" w:hAnsiTheme="minorHAnsi"/>
          <w:i/>
          <w:sz w:val="22"/>
          <w:szCs w:val="22"/>
        </w:rPr>
        <w:t xml:space="preserve">4. Member States may also provide that any natural or legal person registered in accordance with paragraph 1 of this Article may engage only in certain activities listed in Article 18. </w:t>
      </w:r>
    </w:p>
    <w:p w:rsidR="0040026F" w:rsidRPr="00AA4A29" w:rsidRDefault="0040026F" w:rsidP="0040026F">
      <w:pPr>
        <w:pStyle w:val="CM4"/>
        <w:spacing w:before="120" w:after="120"/>
        <w:jc w:val="both"/>
        <w:rPr>
          <w:rFonts w:asciiTheme="minorHAnsi" w:hAnsiTheme="minorHAnsi"/>
          <w:i/>
          <w:sz w:val="22"/>
          <w:szCs w:val="22"/>
        </w:rPr>
      </w:pPr>
      <w:r w:rsidRPr="00AA4A29">
        <w:rPr>
          <w:rFonts w:asciiTheme="minorHAnsi" w:hAnsiTheme="minorHAnsi"/>
          <w:i/>
          <w:sz w:val="22"/>
          <w:szCs w:val="22"/>
        </w:rPr>
        <w:t xml:space="preserve">5. The persons referred to in paragraph 1 of this Article shall notify the competent authorities of any change in their situation which is relevant to the conditions specified in that paragraph. Member States shall take the necessary steps to ensure that where the conditions set out in paragraph 1, 2 or 4 of this Article are no longer met, the persons concerned shall seek authorisation within 30 calendar days in accordance with Article 11. </w:t>
      </w:r>
    </w:p>
    <w:p w:rsidR="0040026F" w:rsidRPr="00AA4A29" w:rsidRDefault="0040026F" w:rsidP="0040026F">
      <w:pPr>
        <w:pStyle w:val="numberedparagraph"/>
        <w:numPr>
          <w:ilvl w:val="0"/>
          <w:numId w:val="0"/>
        </w:numPr>
        <w:spacing w:before="120" w:line="240" w:lineRule="auto"/>
        <w:ind w:left="284" w:hanging="284"/>
        <w:rPr>
          <w:i/>
          <w:szCs w:val="22"/>
          <w:lang w:val="en-GB"/>
        </w:rPr>
      </w:pPr>
      <w:r w:rsidRPr="00AA4A29">
        <w:rPr>
          <w:i/>
          <w:szCs w:val="22"/>
          <w:lang w:val="en-GB"/>
        </w:rPr>
        <w:t>6. Paragraphs 1 to 5 of this Article shall not apply in respect of Directive (EU) 2015/849 or of national anti-money- laundering law.</w:t>
      </w:r>
    </w:p>
    <w:p w:rsidR="00113D82" w:rsidRPr="008549BD" w:rsidRDefault="00113D82" w:rsidP="001F3C65">
      <w:pPr>
        <w:jc w:val="both"/>
        <w:rPr>
          <w:rFonts w:ascii="Calibri" w:eastAsia="Calibri" w:hAnsi="Calibri"/>
          <w:color w:val="2F5773"/>
          <w:spacing w:val="3"/>
          <w:szCs w:val="22"/>
          <w:u w:val="thick" w:color="2F5773"/>
        </w:rPr>
      </w:pPr>
    </w:p>
    <w:p w:rsidR="00113D82" w:rsidRDefault="00113D82" w:rsidP="001F3C65">
      <w:pPr>
        <w:jc w:val="both"/>
        <w:rPr>
          <w:b/>
        </w:rPr>
      </w:pPr>
    </w:p>
    <w:p w:rsidR="00113D82" w:rsidRPr="001F3C65" w:rsidRDefault="00113D82" w:rsidP="001F3C65">
      <w:pPr>
        <w:jc w:val="both"/>
        <w:rPr>
          <w:b/>
        </w:rPr>
      </w:pPr>
    </w:p>
    <w:sectPr w:rsidR="00113D82" w:rsidRPr="001F3C65" w:rsidSect="001F3C65">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127" w:right="1418" w:bottom="113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37" w:rsidRDefault="009D1D37" w:rsidP="00A00E34">
      <w:r>
        <w:separator/>
      </w:r>
    </w:p>
    <w:p w:rsidR="009D1D37" w:rsidRDefault="009D1D37"/>
  </w:endnote>
  <w:endnote w:type="continuationSeparator" w:id="0">
    <w:p w:rsidR="009D1D37" w:rsidRDefault="009D1D37" w:rsidP="00A00E34">
      <w:r>
        <w:continuationSeparator/>
      </w:r>
    </w:p>
    <w:p w:rsidR="009D1D37" w:rsidRDefault="009D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4" w:rsidRDefault="007F71F4"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1F4" w:rsidRDefault="007F71F4"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4" w:rsidRDefault="007F71F4"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9DA">
      <w:rPr>
        <w:rStyle w:val="PageNumber"/>
        <w:noProof/>
      </w:rPr>
      <w:t>9</w:t>
    </w:r>
    <w:r>
      <w:rPr>
        <w:rStyle w:val="PageNumber"/>
      </w:rPr>
      <w:fldChar w:fldCharType="end"/>
    </w:r>
  </w:p>
  <w:p w:rsidR="007F71F4" w:rsidRDefault="007F71F4" w:rsidP="00610305">
    <w:pPr>
      <w:pStyle w:val="Footer"/>
      <w:ind w:right="360"/>
    </w:pPr>
    <w:r>
      <w:rPr>
        <w:noProof/>
        <w:lang w:eastAsia="en-GB"/>
      </w:rPr>
      <mc:AlternateContent>
        <mc:Choice Requires="wps">
          <w:drawing>
            <wp:anchor distT="4294967294" distB="4294967294" distL="114300" distR="114300" simplePos="0" relativeHeight="251662336" behindDoc="1" locked="1" layoutInCell="1" allowOverlap="1" wp14:anchorId="4BA17929" wp14:editId="0CB1FDA1">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4" w:rsidRDefault="007F71F4" w:rsidP="00484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026">
      <w:rPr>
        <w:rStyle w:val="PageNumber"/>
        <w:noProof/>
      </w:rPr>
      <w:t>1</w:t>
    </w:r>
    <w:r>
      <w:rPr>
        <w:rStyle w:val="PageNumber"/>
      </w:rPr>
      <w:fldChar w:fldCharType="end"/>
    </w:r>
  </w:p>
  <w:p w:rsidR="007F71F4" w:rsidRDefault="007F71F4" w:rsidP="002F6CF0">
    <w:pPr>
      <w:pStyle w:val="Footer"/>
      <w:ind w:right="360"/>
    </w:pPr>
    <w:r>
      <w:rPr>
        <w:noProof/>
        <w:lang w:eastAsia="en-GB"/>
      </w:rPr>
      <mc:AlternateContent>
        <mc:Choice Requires="wps">
          <w:drawing>
            <wp:anchor distT="4294967294" distB="4294967294" distL="114300" distR="114300" simplePos="0" relativeHeight="251664384" behindDoc="1" locked="1" layoutInCell="1" allowOverlap="1" wp14:anchorId="41D03579" wp14:editId="6BA02A23">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37" w:rsidRPr="00DB5E8F" w:rsidRDefault="009D1D37">
      <w:pPr>
        <w:rPr>
          <w:sz w:val="12"/>
          <w:szCs w:val="12"/>
        </w:rPr>
      </w:pPr>
      <w:r w:rsidRPr="00DB5E8F">
        <w:rPr>
          <w:sz w:val="12"/>
          <w:szCs w:val="12"/>
        </w:rPr>
        <w:separator/>
      </w:r>
    </w:p>
  </w:footnote>
  <w:footnote w:type="continuationSeparator" w:id="0">
    <w:p w:rsidR="009D1D37" w:rsidRDefault="009D1D37" w:rsidP="00A00E34">
      <w:r>
        <w:continuationSeparator/>
      </w:r>
    </w:p>
    <w:p w:rsidR="009D1D37" w:rsidRDefault="009D1D37"/>
  </w:footnote>
  <w:footnote w:type="continuationNotice" w:id="1">
    <w:p w:rsidR="009D1D37" w:rsidRDefault="009D1D37"/>
  </w:footnote>
  <w:footnote w:id="2">
    <w:p w:rsidR="007F71F4" w:rsidRPr="00416E1E" w:rsidRDefault="007F71F4" w:rsidP="00416E1E">
      <w:pPr>
        <w:pStyle w:val="FootnoteText"/>
        <w:rPr>
          <w:lang w:val="en-GB"/>
        </w:rPr>
      </w:pPr>
      <w:r>
        <w:rPr>
          <w:rStyle w:val="FootnoteReference"/>
        </w:rPr>
        <w:footnoteRef/>
      </w:r>
      <w:r>
        <w:t xml:space="preserve"> </w:t>
      </w:r>
      <w:r w:rsidRPr="00416E1E">
        <w:rPr>
          <w:lang w:val="en-GB"/>
        </w:rPr>
        <w:t>Directive (EU) 2015/2366</w:t>
      </w:r>
      <w:r>
        <w:rPr>
          <w:lang w:val="en-GB"/>
        </w:rPr>
        <w:t xml:space="preserve"> of the European Parliament and of the Council </w:t>
      </w:r>
      <w:r>
        <w:t>of 25 November 2015 on payment services in the internal market, amending Directives 2002/65/EC, 2009/110/EC and 2013/36/EU and Regulation (EU) No 1093/2010, and repealing Directive 2007/64/EC.</w:t>
      </w:r>
    </w:p>
  </w:footnote>
  <w:footnote w:id="3">
    <w:p w:rsidR="007F71F4" w:rsidRPr="001369F0" w:rsidRDefault="007F71F4" w:rsidP="001369F0">
      <w:pPr>
        <w:pStyle w:val="FootnoteText"/>
      </w:pPr>
      <w:r>
        <w:rPr>
          <w:rStyle w:val="FootnoteReference"/>
        </w:rPr>
        <w:footnoteRef/>
      </w:r>
      <w:r>
        <w:t xml:space="preserve"> Directive 2007/64/EC of the European Parliament and of the Council of 13 November 2007 on payment services in the internal market amending Directives 97/7/EC, 2002/65/EC, 2005/60/EC</w:t>
      </w:r>
      <w:r w:rsidR="008F0446">
        <w:t xml:space="preserve"> </w:t>
      </w:r>
      <w:r>
        <w:t>and 2006/48/EC and repealing Directive 97/5/EC.</w:t>
      </w:r>
    </w:p>
  </w:footnote>
  <w:footnote w:id="4">
    <w:p w:rsidR="00E5585F" w:rsidRPr="00C95B5D" w:rsidRDefault="00E5585F" w:rsidP="00E5585F">
      <w:pPr>
        <w:pStyle w:val="FootnoteText"/>
      </w:pPr>
      <w:r>
        <w:rPr>
          <w:rStyle w:val="FootnoteReference"/>
        </w:rPr>
        <w:footnoteRef/>
      </w:r>
      <w:r>
        <w:t xml:space="preserve"> </w:t>
      </w:r>
      <w:r w:rsidRPr="00C95B5D">
        <w:t>Directive 2009/110/EC</w:t>
      </w:r>
      <w:r w:rsidRPr="00C95B5D">
        <w:rPr>
          <w:lang w:val="en-GB"/>
        </w:rPr>
        <w:t xml:space="preserve"> </w:t>
      </w:r>
      <w:r>
        <w:rPr>
          <w:lang w:val="en-GB"/>
        </w:rPr>
        <w:t xml:space="preserve">of the European Parliament and of the Council </w:t>
      </w:r>
      <w:r>
        <w:t>of 16 September 2009 on the taking up, pursuit and prudential supervision of the business of electronic money institutions amending Directives 2005/60/EC and 2006/48/EC and repealing Directive 2000/46/EC</w:t>
      </w:r>
    </w:p>
  </w:footnote>
  <w:footnote w:id="5">
    <w:p w:rsidR="00E849BE" w:rsidRPr="00C51CAD" w:rsidRDefault="00E849BE" w:rsidP="00E849BE">
      <w:pPr>
        <w:pStyle w:val="FootnoteText"/>
        <w:rPr>
          <w:lang w:val="en-GB"/>
        </w:rPr>
      </w:pPr>
      <w:r>
        <w:rPr>
          <w:rStyle w:val="FootnoteReference"/>
        </w:rPr>
        <w:footnoteRef/>
      </w:r>
      <w:r>
        <w:t xml:space="preserve"> </w:t>
      </w:r>
      <w:r w:rsidRPr="00C51CAD">
        <w:rPr>
          <w:lang w:val="en-GB"/>
        </w:rPr>
        <w:t>Directive 2013/36/EU</w:t>
      </w:r>
      <w:r>
        <w:rPr>
          <w:lang w:val="en-GB"/>
        </w:rPr>
        <w:t xml:space="preserve"> of the European Parliament and of the Council of 26 June 2013 on access to the activity of credit institutions and </w:t>
      </w:r>
      <w:r w:rsidRPr="00C51CAD">
        <w:rPr>
          <w:lang w:val="en-GB"/>
        </w:rPr>
        <w:t>the prudential supervision of credit institutions and investment firms, amending Directive 2002/87/EC and repealing Directives 2006/48/EC and 2006/49/EC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4" w:rsidRDefault="000019DA">
    <w:sdt>
      <w:sdtPr>
        <w:id w:val="1051503992"/>
        <w:temporary/>
        <w:showingPlcHdr/>
      </w:sdtPr>
      <w:sdtEndPr/>
      <w:sdtContent>
        <w:r w:rsidR="007F71F4">
          <w:t>[Type text]</w:t>
        </w:r>
      </w:sdtContent>
    </w:sdt>
    <w:r w:rsidR="007F71F4">
      <w:ptab w:relativeTo="margin" w:alignment="center" w:leader="none"/>
    </w:r>
    <w:sdt>
      <w:sdtPr>
        <w:id w:val="731575129"/>
        <w:temporary/>
        <w:showingPlcHdr/>
      </w:sdtPr>
      <w:sdtEndPr/>
      <w:sdtContent>
        <w:r w:rsidR="007F71F4">
          <w:t>[Type text]</w:t>
        </w:r>
      </w:sdtContent>
    </w:sdt>
    <w:r w:rsidR="007F71F4">
      <w:ptab w:relativeTo="margin" w:alignment="right" w:leader="none"/>
    </w:r>
    <w:sdt>
      <w:sdtPr>
        <w:id w:val="364179191"/>
        <w:temporary/>
        <w:showingPlcHdr/>
      </w:sdtPr>
      <w:sdtEndPr/>
      <w:sdtContent>
        <w:r w:rsidR="007F71F4">
          <w:t>[Type text]</w:t>
        </w:r>
      </w:sdtContent>
    </w:sdt>
  </w:p>
  <w:p w:rsidR="007F71F4" w:rsidRDefault="007F71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4" w:rsidRPr="00F9452C" w:rsidRDefault="007F71F4" w:rsidP="002C0DCF">
    <w:pPr>
      <w:pStyle w:val="Runningtitle"/>
    </w:pPr>
    <w:r>
      <w:rPr>
        <w:noProof/>
        <w:lang w:val="en-GB" w:eastAsia="en-GB"/>
      </w:rPr>
      <w:drawing>
        <wp:anchor distT="0" distB="0" distL="114300" distR="114300" simplePos="0" relativeHeight="251658240" behindDoc="1" locked="0" layoutInCell="1" allowOverlap="1" wp14:anchorId="2DB4920F" wp14:editId="03541475">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4" w:rsidRDefault="007F71F4" w:rsidP="00E677EF">
    <w:pPr>
      <w:pStyle w:val="Runningtitle"/>
    </w:pPr>
    <w:r>
      <w:rPr>
        <w:noProof/>
        <w:lang w:val="en-GB" w:eastAsia="en-GB"/>
      </w:rPr>
      <w:drawing>
        <wp:anchor distT="0" distB="0" distL="114300" distR="114300" simplePos="0" relativeHeight="251660288" behindDoc="1" locked="1" layoutInCell="1" allowOverlap="0" wp14:anchorId="235BCAE7" wp14:editId="1383C95A">
          <wp:simplePos x="0" y="0"/>
          <wp:positionH relativeFrom="page">
            <wp:posOffset>4702175</wp:posOffset>
          </wp:positionH>
          <wp:positionV relativeFrom="page">
            <wp:posOffset>450215</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3CD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435EA"/>
    <w:multiLevelType w:val="hybridMultilevel"/>
    <w:tmpl w:val="1CAA2156"/>
    <w:lvl w:ilvl="0" w:tplc="08090001">
      <w:start w:val="1"/>
      <w:numFmt w:val="bullet"/>
      <w:lvlText w:val=""/>
      <w:lvlJc w:val="left"/>
      <w:pPr>
        <w:ind w:left="1080" w:hanging="360"/>
      </w:pPr>
      <w:rPr>
        <w:rFonts w:ascii="Symbol" w:hAnsi="Symbol"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06F05285"/>
    <w:multiLevelType w:val="hybridMultilevel"/>
    <w:tmpl w:val="DC206AAA"/>
    <w:lvl w:ilvl="0" w:tplc="08090001">
      <w:start w:val="1"/>
      <w:numFmt w:val="bullet"/>
      <w:lvlText w:val=""/>
      <w:lvlJc w:val="left"/>
      <w:pPr>
        <w:ind w:left="1080" w:hanging="360"/>
      </w:pPr>
      <w:rPr>
        <w:rFonts w:ascii="Symbol" w:hAnsi="Symbol"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0833408D"/>
    <w:multiLevelType w:val="hybridMultilevel"/>
    <w:tmpl w:val="61DA8464"/>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D5654A7"/>
    <w:multiLevelType w:val="hybridMultilevel"/>
    <w:tmpl w:val="AA2A887C"/>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0A112D1"/>
    <w:multiLevelType w:val="hybridMultilevel"/>
    <w:tmpl w:val="2BBC19DA"/>
    <w:lvl w:ilvl="0" w:tplc="08090001">
      <w:start w:val="1"/>
      <w:numFmt w:val="bullet"/>
      <w:lvlText w:val=""/>
      <w:lvlJc w:val="left"/>
      <w:pPr>
        <w:ind w:left="1080" w:hanging="360"/>
      </w:pPr>
      <w:rPr>
        <w:rFonts w:ascii="Symbol" w:hAnsi="Symbol"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11023F71"/>
    <w:multiLevelType w:val="hybridMultilevel"/>
    <w:tmpl w:val="39D047DA"/>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6448D8"/>
    <w:multiLevelType w:val="hybridMultilevel"/>
    <w:tmpl w:val="AA2E54A2"/>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6492193"/>
    <w:multiLevelType w:val="hybridMultilevel"/>
    <w:tmpl w:val="87380E8A"/>
    <w:lvl w:ilvl="0" w:tplc="08090001">
      <w:start w:val="1"/>
      <w:numFmt w:val="bullet"/>
      <w:lvlText w:val=""/>
      <w:lvlJc w:val="left"/>
      <w:pPr>
        <w:ind w:left="1080" w:hanging="360"/>
      </w:pPr>
      <w:rPr>
        <w:rFonts w:ascii="Symbol" w:hAnsi="Symbol"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1DF91195"/>
    <w:multiLevelType w:val="hybridMultilevel"/>
    <w:tmpl w:val="5C6275B4"/>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FC504A0"/>
    <w:multiLevelType w:val="hybridMultilevel"/>
    <w:tmpl w:val="47A64190"/>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21C33A0"/>
    <w:multiLevelType w:val="hybridMultilevel"/>
    <w:tmpl w:val="9AE00526"/>
    <w:lvl w:ilvl="0" w:tplc="08090001">
      <w:start w:val="1"/>
      <w:numFmt w:val="bullet"/>
      <w:lvlText w:val=""/>
      <w:lvlJc w:val="left"/>
      <w:pPr>
        <w:ind w:left="1080" w:hanging="360"/>
      </w:pPr>
      <w:rPr>
        <w:rFonts w:ascii="Symbol" w:hAnsi="Symbol"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269973AF"/>
    <w:multiLevelType w:val="hybridMultilevel"/>
    <w:tmpl w:val="67CEB13C"/>
    <w:lvl w:ilvl="0" w:tplc="4A2A8390">
      <w:start w:val="1"/>
      <w:numFmt w:val="decimal"/>
      <w:lvlText w:val="%1."/>
      <w:lvlJc w:val="left"/>
      <w:pPr>
        <w:tabs>
          <w:tab w:val="num" w:pos="284"/>
        </w:tabs>
        <w:ind w:left="284" w:hanging="284"/>
      </w:pPr>
      <w:rPr>
        <w:rFonts w:hint="default"/>
      </w:rPr>
    </w:lvl>
    <w:lvl w:ilvl="1" w:tplc="F448165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F0C26"/>
    <w:multiLevelType w:val="hybridMultilevel"/>
    <w:tmpl w:val="5CB0509E"/>
    <w:lvl w:ilvl="0" w:tplc="08090001">
      <w:start w:val="1"/>
      <w:numFmt w:val="bullet"/>
      <w:lvlText w:val=""/>
      <w:lvlJc w:val="left"/>
      <w:pPr>
        <w:ind w:left="720" w:hanging="360"/>
      </w:pPr>
      <w:rPr>
        <w:rFonts w:ascii="Symbol" w:hAnsi="Symbol" w:hint="default"/>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B105069"/>
    <w:multiLevelType w:val="hybridMultilevel"/>
    <w:tmpl w:val="0FB4D06C"/>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C2D6767"/>
    <w:multiLevelType w:val="hybridMultilevel"/>
    <w:tmpl w:val="39527706"/>
    <w:lvl w:ilvl="0" w:tplc="08090001">
      <w:start w:val="1"/>
      <w:numFmt w:val="bullet"/>
      <w:lvlText w:val=""/>
      <w:lvlJc w:val="left"/>
      <w:pPr>
        <w:ind w:left="1080" w:hanging="360"/>
      </w:pPr>
      <w:rPr>
        <w:rFonts w:ascii="Symbol" w:hAnsi="Symbol"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nsid w:val="2D0D1086"/>
    <w:multiLevelType w:val="hybridMultilevel"/>
    <w:tmpl w:val="1812E37A"/>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F300E41"/>
    <w:multiLevelType w:val="hybridMultilevel"/>
    <w:tmpl w:val="0E7A9A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FAC0F9D"/>
    <w:multiLevelType w:val="hybridMultilevel"/>
    <w:tmpl w:val="0E24D566"/>
    <w:lvl w:ilvl="0" w:tplc="67603286">
      <w:start w:val="1"/>
      <w:numFmt w:val="bullet"/>
      <w:pStyle w:val="Lis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30184E9F"/>
    <w:multiLevelType w:val="hybridMultilevel"/>
    <w:tmpl w:val="E9C00330"/>
    <w:lvl w:ilvl="0" w:tplc="08090001">
      <w:start w:val="1"/>
      <w:numFmt w:val="bullet"/>
      <w:lvlText w:val=""/>
      <w:lvlJc w:val="left"/>
      <w:pPr>
        <w:ind w:left="720" w:hanging="360"/>
      </w:pPr>
      <w:rPr>
        <w:rFonts w:ascii="Symbol" w:hAnsi="Symbol" w:hint="default"/>
        <w:sz w:val="22"/>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1967A12"/>
    <w:multiLevelType w:val="multilevel"/>
    <w:tmpl w:val="EBA0F83C"/>
    <w:lvl w:ilvl="0">
      <w:start w:val="1"/>
      <w:numFmt w:val="decimal"/>
      <w:lvlText w:val="%1."/>
      <w:lvlJc w:val="left"/>
      <w:pPr>
        <w:ind w:left="720" w:hanging="360"/>
      </w:pPr>
      <w:rPr>
        <w:rFonts w:ascii="Calibri" w:hAnsi="Calibri"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E4068E"/>
    <w:multiLevelType w:val="hybridMultilevel"/>
    <w:tmpl w:val="0AEEA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F050AE"/>
    <w:multiLevelType w:val="hybridMultilevel"/>
    <w:tmpl w:val="F4BC83D0"/>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3BB676AA"/>
    <w:multiLevelType w:val="hybridMultilevel"/>
    <w:tmpl w:val="710E7FA2"/>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3EEC18BD"/>
    <w:multiLevelType w:val="hybridMultilevel"/>
    <w:tmpl w:val="66F2D34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9">
    <w:nsid w:val="3FC407D6"/>
    <w:multiLevelType w:val="hybridMultilevel"/>
    <w:tmpl w:val="A2564B46"/>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FF75CA"/>
    <w:multiLevelType w:val="hybridMultilevel"/>
    <w:tmpl w:val="3558E0CA"/>
    <w:lvl w:ilvl="0" w:tplc="08090001">
      <w:start w:val="1"/>
      <w:numFmt w:val="bullet"/>
      <w:lvlText w:val=""/>
      <w:lvlJc w:val="left"/>
      <w:pPr>
        <w:ind w:left="720" w:hanging="360"/>
      </w:pPr>
      <w:rPr>
        <w:rFonts w:ascii="Symbol" w:hAnsi="Symbol" w:hint="default"/>
        <w:sz w:val="22"/>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48831481"/>
    <w:multiLevelType w:val="hybridMultilevel"/>
    <w:tmpl w:val="6E7C0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4C3419AF"/>
    <w:multiLevelType w:val="hybridMultilevel"/>
    <w:tmpl w:val="FF7E4C18"/>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4E9902A4"/>
    <w:multiLevelType w:val="hybridMultilevel"/>
    <w:tmpl w:val="1A0211B6"/>
    <w:lvl w:ilvl="0" w:tplc="0809000F">
      <w:start w:val="1"/>
      <w:numFmt w:val="decimal"/>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nsid w:val="50227369"/>
    <w:multiLevelType w:val="hybridMultilevel"/>
    <w:tmpl w:val="BC6C2E8C"/>
    <w:lvl w:ilvl="0" w:tplc="463E1678">
      <w:start w:val="1"/>
      <w:numFmt w:val="decimal"/>
      <w:pStyle w:val="numberedparagraph"/>
      <w:lvlText w:val="%1."/>
      <w:lvlJc w:val="left"/>
      <w:pPr>
        <w:tabs>
          <w:tab w:val="num" w:pos="284"/>
        </w:tabs>
        <w:ind w:left="284" w:hanging="284"/>
      </w:pPr>
      <w:rPr>
        <w:rFonts w:hint="default"/>
        <w:lang w:val="en-GB"/>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F567EA"/>
    <w:multiLevelType w:val="hybridMultilevel"/>
    <w:tmpl w:val="767CE2A4"/>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DA09E7"/>
    <w:multiLevelType w:val="hybridMultilevel"/>
    <w:tmpl w:val="1FAEC046"/>
    <w:lvl w:ilvl="0" w:tplc="08090001">
      <w:start w:val="1"/>
      <w:numFmt w:val="bullet"/>
      <w:lvlText w:val=""/>
      <w:lvlJc w:val="left"/>
      <w:pPr>
        <w:ind w:left="720" w:hanging="360"/>
      </w:pPr>
      <w:rPr>
        <w:rFonts w:ascii="Symbol" w:hAnsi="Symbol" w:hint="default"/>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FD06D66"/>
    <w:multiLevelType w:val="hybridMultilevel"/>
    <w:tmpl w:val="B3D45EE8"/>
    <w:lvl w:ilvl="0" w:tplc="3E4E890A">
      <w:start w:val="5"/>
      <w:numFmt w:val="bullet"/>
      <w:lvlText w:val="-"/>
      <w:lvlJc w:val="left"/>
      <w:pPr>
        <w:ind w:left="615" w:hanging="360"/>
      </w:pPr>
      <w:rPr>
        <w:rFonts w:ascii="Calibri" w:eastAsia="Calibri" w:hAnsi="Calibri" w:cstheme="minorBidi"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39">
    <w:nsid w:val="62E82DCE"/>
    <w:multiLevelType w:val="hybridMultilevel"/>
    <w:tmpl w:val="061EEE8A"/>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36325DC"/>
    <w:multiLevelType w:val="hybridMultilevel"/>
    <w:tmpl w:val="55F4ECC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89D25B8"/>
    <w:multiLevelType w:val="hybridMultilevel"/>
    <w:tmpl w:val="8A601F80"/>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69E07799"/>
    <w:multiLevelType w:val="hybridMultilevel"/>
    <w:tmpl w:val="E0E8B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B5F6DB0"/>
    <w:multiLevelType w:val="multilevel"/>
    <w:tmpl w:val="6D04A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nsid w:val="6C455078"/>
    <w:multiLevelType w:val="hybridMultilevel"/>
    <w:tmpl w:val="5E068630"/>
    <w:lvl w:ilvl="0" w:tplc="19BCCA92">
      <w:start w:val="1"/>
      <w:numFmt w:val="decimal"/>
      <w:lvlText w:val="%1."/>
      <w:lvlJc w:val="left"/>
      <w:pPr>
        <w:tabs>
          <w:tab w:val="num" w:pos="994"/>
        </w:tabs>
        <w:ind w:left="994" w:hanging="284"/>
      </w:pPr>
      <w:rPr>
        <w:rFonts w:hint="default"/>
      </w:rPr>
    </w:lvl>
    <w:lvl w:ilvl="1" w:tplc="0809001B">
      <w:start w:val="1"/>
      <w:numFmt w:val="lowerRoman"/>
      <w:lvlText w:val="%2."/>
      <w:lvlJc w:val="right"/>
      <w:pPr>
        <w:ind w:left="2008" w:hanging="360"/>
      </w:pPr>
      <w:rPr>
        <w:rFonts w:hint="default"/>
      </w:rPr>
    </w:lvl>
    <w:lvl w:ilvl="2" w:tplc="582C0A2E">
      <w:start w:val="1"/>
      <w:numFmt w:val="lowerLetter"/>
      <w:lvlText w:val="%3)"/>
      <w:lvlJc w:val="left"/>
      <w:pPr>
        <w:ind w:left="2908" w:hanging="360"/>
      </w:pPr>
      <w:rPr>
        <w:rFonts w:hint="default"/>
      </w:r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6">
    <w:nsid w:val="6C636B89"/>
    <w:multiLevelType w:val="hybridMultilevel"/>
    <w:tmpl w:val="855EFE40"/>
    <w:lvl w:ilvl="0" w:tplc="08090001">
      <w:start w:val="1"/>
      <w:numFmt w:val="bullet"/>
      <w:lvlText w:val=""/>
      <w:lvlJc w:val="left"/>
      <w:pPr>
        <w:ind w:left="720" w:hanging="360"/>
      </w:pPr>
      <w:rPr>
        <w:rFonts w:ascii="Symbol" w:hAnsi="Symbol" w:hint="default"/>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6F363880"/>
    <w:multiLevelType w:val="hybridMultilevel"/>
    <w:tmpl w:val="B0449C3C"/>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nsid w:val="7840759C"/>
    <w:multiLevelType w:val="hybridMultilevel"/>
    <w:tmpl w:val="63CE744C"/>
    <w:lvl w:ilvl="0" w:tplc="08090001">
      <w:start w:val="1"/>
      <w:numFmt w:val="bullet"/>
      <w:lvlText w:val=""/>
      <w:lvlJc w:val="left"/>
      <w:pPr>
        <w:ind w:left="720" w:hanging="360"/>
      </w:pPr>
      <w:rPr>
        <w:rFonts w:ascii="Symbol" w:hAnsi="Symbol" w:hint="default"/>
        <w:sz w:val="22"/>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78C56C2E"/>
    <w:multiLevelType w:val="hybridMultilevel"/>
    <w:tmpl w:val="04768380"/>
    <w:lvl w:ilvl="0" w:tplc="08090001">
      <w:start w:val="1"/>
      <w:numFmt w:val="bullet"/>
      <w:lvlText w:val=""/>
      <w:lvlJc w:val="left"/>
      <w:pPr>
        <w:ind w:left="720" w:hanging="360"/>
      </w:pPr>
      <w:rPr>
        <w:rFonts w:ascii="Symbol" w:hAnsi="Symbol" w:hint="default"/>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78FB0FA2"/>
    <w:multiLevelType w:val="hybridMultilevel"/>
    <w:tmpl w:val="D35C2EA4"/>
    <w:lvl w:ilvl="0" w:tplc="08090001">
      <w:start w:val="1"/>
      <w:numFmt w:val="bullet"/>
      <w:lvlText w:val=""/>
      <w:lvlJc w:val="left"/>
      <w:pPr>
        <w:ind w:left="720" w:hanging="360"/>
      </w:pPr>
      <w:rPr>
        <w:rFonts w:ascii="Symbol" w:hAnsi="Symbol" w:hint="default"/>
        <w:sz w:val="22"/>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nsid w:val="79075AB2"/>
    <w:multiLevelType w:val="hybridMultilevel"/>
    <w:tmpl w:val="26CA9A60"/>
    <w:lvl w:ilvl="0" w:tplc="0809000F">
      <w:start w:val="1"/>
      <w:numFmt w:val="decimal"/>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2">
    <w:nsid w:val="7A002595"/>
    <w:multiLevelType w:val="hybridMultilevel"/>
    <w:tmpl w:val="E6223560"/>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7D1D152D"/>
    <w:multiLevelType w:val="hybridMultilevel"/>
    <w:tmpl w:val="08D64650"/>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0"/>
  </w:num>
  <w:num w:numId="2">
    <w:abstractNumId w:val="2"/>
  </w:num>
  <w:num w:numId="3">
    <w:abstractNumId w:val="18"/>
  </w:num>
  <w:num w:numId="4">
    <w:abstractNumId w:val="25"/>
  </w:num>
  <w:num w:numId="5">
    <w:abstractNumId w:val="1"/>
  </w:num>
  <w:num w:numId="6">
    <w:abstractNumId w:val="44"/>
  </w:num>
  <w:num w:numId="7">
    <w:abstractNumId w:val="35"/>
  </w:num>
  <w:num w:numId="8">
    <w:abstractNumId w:val="0"/>
  </w:num>
  <w:num w:numId="9">
    <w:abstractNumId w:val="21"/>
  </w:num>
  <w:num w:numId="10">
    <w:abstractNumId w:val="14"/>
  </w:num>
  <w:num w:numId="11">
    <w:abstractNumId w:val="28"/>
  </w:num>
  <w:num w:numId="12">
    <w:abstractNumId w:val="35"/>
    <w:lvlOverride w:ilvl="0">
      <w:startOverride w:val="1"/>
    </w:lvlOverride>
  </w:num>
  <w:num w:numId="13">
    <w:abstractNumId w:val="35"/>
    <w:lvlOverride w:ilvl="0">
      <w:startOverride w:val="1"/>
    </w:lvlOverride>
  </w:num>
  <w:num w:numId="14">
    <w:abstractNumId w:val="4"/>
  </w:num>
  <w:num w:numId="15">
    <w:abstractNumId w:val="10"/>
  </w:num>
  <w:num w:numId="16">
    <w:abstractNumId w:val="52"/>
  </w:num>
  <w:num w:numId="17">
    <w:abstractNumId w:val="17"/>
  </w:num>
  <w:num w:numId="18">
    <w:abstractNumId w:val="3"/>
  </w:num>
  <w:num w:numId="19">
    <w:abstractNumId w:val="7"/>
  </w:num>
  <w:num w:numId="20">
    <w:abstractNumId w:val="13"/>
  </w:num>
  <w:num w:numId="21">
    <w:abstractNumId w:val="20"/>
  </w:num>
  <w:num w:numId="22">
    <w:abstractNumId w:val="43"/>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4"/>
  </w:num>
  <w:num w:numId="33">
    <w:abstractNumId w:val="51"/>
  </w:num>
  <w:num w:numId="34">
    <w:abstractNumId w:val="46"/>
  </w:num>
  <w:num w:numId="35">
    <w:abstractNumId w:val="49"/>
  </w:num>
  <w:num w:numId="36">
    <w:abstractNumId w:val="15"/>
  </w:num>
  <w:num w:numId="37">
    <w:abstractNumId w:val="37"/>
  </w:num>
  <w:num w:numId="38">
    <w:abstractNumId w:val="39"/>
  </w:num>
  <w:num w:numId="39">
    <w:abstractNumId w:val="6"/>
  </w:num>
  <w:num w:numId="40">
    <w:abstractNumId w:val="19"/>
  </w:num>
  <w:num w:numId="41">
    <w:abstractNumId w:val="12"/>
  </w:num>
  <w:num w:numId="42">
    <w:abstractNumId w:val="41"/>
  </w:num>
  <w:num w:numId="43">
    <w:abstractNumId w:val="29"/>
  </w:num>
  <w:num w:numId="44">
    <w:abstractNumId w:val="53"/>
  </w:num>
  <w:num w:numId="45">
    <w:abstractNumId w:val="33"/>
  </w:num>
  <w:num w:numId="46">
    <w:abstractNumId w:val="47"/>
  </w:num>
  <w:num w:numId="47">
    <w:abstractNumId w:val="11"/>
  </w:num>
  <w:num w:numId="48">
    <w:abstractNumId w:val="16"/>
  </w:num>
  <w:num w:numId="49">
    <w:abstractNumId w:val="5"/>
  </w:num>
  <w:num w:numId="50">
    <w:abstractNumId w:val="26"/>
  </w:num>
  <w:num w:numId="51">
    <w:abstractNumId w:val="27"/>
  </w:num>
  <w:num w:numId="52">
    <w:abstractNumId w:val="8"/>
  </w:num>
  <w:num w:numId="53">
    <w:abstractNumId w:val="9"/>
  </w:num>
  <w:num w:numId="54">
    <w:abstractNumId w:val="48"/>
  </w:num>
  <w:num w:numId="55">
    <w:abstractNumId w:val="31"/>
  </w:num>
  <w:num w:numId="56">
    <w:abstractNumId w:val="22"/>
  </w:num>
  <w:num w:numId="57">
    <w:abstractNumId w:val="50"/>
  </w:num>
  <w:num w:numId="58">
    <w:abstractNumId w:val="0"/>
  </w:num>
  <w:num w:numId="59">
    <w:abstractNumId w:val="38"/>
  </w:num>
  <w:num w:numId="60">
    <w:abstractNumId w:val="23"/>
  </w:num>
  <w:num w:numId="61">
    <w:abstractNumId w:val="0"/>
  </w:num>
  <w:num w:numId="62">
    <w:abstractNumId w:val="24"/>
  </w:num>
  <w:num w:numId="63">
    <w:abstractNumId w:val="45"/>
  </w:num>
  <w:num w:numId="64">
    <w:abstractNumId w:val="32"/>
  </w:num>
  <w:num w:numId="65">
    <w:abstractNumId w:val="36"/>
  </w:num>
  <w:num w:numId="6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BA SHORT REPORT"/>
  </w:docVars>
  <w:rsids>
    <w:rsidRoot w:val="004B7501"/>
    <w:rsid w:val="000019DA"/>
    <w:rsid w:val="00001A82"/>
    <w:rsid w:val="00003F50"/>
    <w:rsid w:val="00006205"/>
    <w:rsid w:val="00006B55"/>
    <w:rsid w:val="00013281"/>
    <w:rsid w:val="00016FE8"/>
    <w:rsid w:val="00020BA5"/>
    <w:rsid w:val="00022931"/>
    <w:rsid w:val="000231B7"/>
    <w:rsid w:val="0002360D"/>
    <w:rsid w:val="00023BFF"/>
    <w:rsid w:val="00026506"/>
    <w:rsid w:val="00027B89"/>
    <w:rsid w:val="00027CA0"/>
    <w:rsid w:val="00030D65"/>
    <w:rsid w:val="0003144A"/>
    <w:rsid w:val="000406AC"/>
    <w:rsid w:val="00042EBA"/>
    <w:rsid w:val="00052FFB"/>
    <w:rsid w:val="0005701A"/>
    <w:rsid w:val="00060F40"/>
    <w:rsid w:val="00070BC9"/>
    <w:rsid w:val="00073F40"/>
    <w:rsid w:val="0008140B"/>
    <w:rsid w:val="000817DF"/>
    <w:rsid w:val="00083CDB"/>
    <w:rsid w:val="000843CD"/>
    <w:rsid w:val="00093385"/>
    <w:rsid w:val="000949DF"/>
    <w:rsid w:val="000A1C81"/>
    <w:rsid w:val="000A60B0"/>
    <w:rsid w:val="000B1645"/>
    <w:rsid w:val="000C36BC"/>
    <w:rsid w:val="000C4B07"/>
    <w:rsid w:val="000C5A8A"/>
    <w:rsid w:val="000D7A44"/>
    <w:rsid w:val="000E0C27"/>
    <w:rsid w:val="000E6D15"/>
    <w:rsid w:val="000F00EE"/>
    <w:rsid w:val="000F6495"/>
    <w:rsid w:val="000F6894"/>
    <w:rsid w:val="000F6FD8"/>
    <w:rsid w:val="000F7B32"/>
    <w:rsid w:val="00105910"/>
    <w:rsid w:val="00105FD2"/>
    <w:rsid w:val="0011195A"/>
    <w:rsid w:val="00113D82"/>
    <w:rsid w:val="0011517F"/>
    <w:rsid w:val="00120A71"/>
    <w:rsid w:val="00121BB0"/>
    <w:rsid w:val="001249CA"/>
    <w:rsid w:val="0013090C"/>
    <w:rsid w:val="00131C5D"/>
    <w:rsid w:val="001369F0"/>
    <w:rsid w:val="00141F17"/>
    <w:rsid w:val="00144B79"/>
    <w:rsid w:val="00145602"/>
    <w:rsid w:val="00145D24"/>
    <w:rsid w:val="00147124"/>
    <w:rsid w:val="00152832"/>
    <w:rsid w:val="001600FC"/>
    <w:rsid w:val="001610F7"/>
    <w:rsid w:val="00172007"/>
    <w:rsid w:val="001739F0"/>
    <w:rsid w:val="0017446F"/>
    <w:rsid w:val="001766B9"/>
    <w:rsid w:val="001800CF"/>
    <w:rsid w:val="001834D4"/>
    <w:rsid w:val="00191509"/>
    <w:rsid w:val="00192287"/>
    <w:rsid w:val="001948A7"/>
    <w:rsid w:val="00196F59"/>
    <w:rsid w:val="001A016C"/>
    <w:rsid w:val="001A2A81"/>
    <w:rsid w:val="001B2C0D"/>
    <w:rsid w:val="001B39CE"/>
    <w:rsid w:val="001B5445"/>
    <w:rsid w:val="001B6017"/>
    <w:rsid w:val="001B7137"/>
    <w:rsid w:val="001B7A0B"/>
    <w:rsid w:val="001B7EB3"/>
    <w:rsid w:val="001C1FD9"/>
    <w:rsid w:val="001C343F"/>
    <w:rsid w:val="001C5BC2"/>
    <w:rsid w:val="001D0179"/>
    <w:rsid w:val="001D0D83"/>
    <w:rsid w:val="001D4DF4"/>
    <w:rsid w:val="001D619E"/>
    <w:rsid w:val="001E1188"/>
    <w:rsid w:val="001E20A9"/>
    <w:rsid w:val="001E3599"/>
    <w:rsid w:val="001E359B"/>
    <w:rsid w:val="001E6334"/>
    <w:rsid w:val="001F10E0"/>
    <w:rsid w:val="001F1CB9"/>
    <w:rsid w:val="001F3C65"/>
    <w:rsid w:val="001F4B95"/>
    <w:rsid w:val="001F7501"/>
    <w:rsid w:val="002054E7"/>
    <w:rsid w:val="00205878"/>
    <w:rsid w:val="002108C0"/>
    <w:rsid w:val="00211AAE"/>
    <w:rsid w:val="00213D7B"/>
    <w:rsid w:val="00214DEC"/>
    <w:rsid w:val="00224761"/>
    <w:rsid w:val="00224A3F"/>
    <w:rsid w:val="00224C91"/>
    <w:rsid w:val="002306C7"/>
    <w:rsid w:val="00231187"/>
    <w:rsid w:val="002326C6"/>
    <w:rsid w:val="00241BD8"/>
    <w:rsid w:val="002434B0"/>
    <w:rsid w:val="002445D6"/>
    <w:rsid w:val="00246431"/>
    <w:rsid w:val="0025203D"/>
    <w:rsid w:val="00257914"/>
    <w:rsid w:val="00262ECB"/>
    <w:rsid w:val="00263258"/>
    <w:rsid w:val="002650B4"/>
    <w:rsid w:val="0027399F"/>
    <w:rsid w:val="0027418E"/>
    <w:rsid w:val="00275196"/>
    <w:rsid w:val="00285AB7"/>
    <w:rsid w:val="00286BC5"/>
    <w:rsid w:val="00290DA3"/>
    <w:rsid w:val="002B0450"/>
    <w:rsid w:val="002B65E7"/>
    <w:rsid w:val="002C0DCF"/>
    <w:rsid w:val="002C2F42"/>
    <w:rsid w:val="002C539E"/>
    <w:rsid w:val="002C5914"/>
    <w:rsid w:val="002D1867"/>
    <w:rsid w:val="002F0564"/>
    <w:rsid w:val="002F2009"/>
    <w:rsid w:val="002F3E22"/>
    <w:rsid w:val="002F6CF0"/>
    <w:rsid w:val="00300924"/>
    <w:rsid w:val="003025A8"/>
    <w:rsid w:val="0031187C"/>
    <w:rsid w:val="003129B6"/>
    <w:rsid w:val="0031451E"/>
    <w:rsid w:val="00314D6E"/>
    <w:rsid w:val="0031636F"/>
    <w:rsid w:val="00320E57"/>
    <w:rsid w:val="003221EF"/>
    <w:rsid w:val="003248A2"/>
    <w:rsid w:val="00343427"/>
    <w:rsid w:val="0035415A"/>
    <w:rsid w:val="0035477B"/>
    <w:rsid w:val="0035666D"/>
    <w:rsid w:val="0035729B"/>
    <w:rsid w:val="00362E46"/>
    <w:rsid w:val="00372BEC"/>
    <w:rsid w:val="003776A5"/>
    <w:rsid w:val="00385139"/>
    <w:rsid w:val="003862DA"/>
    <w:rsid w:val="00392385"/>
    <w:rsid w:val="003A2D45"/>
    <w:rsid w:val="003A7C3D"/>
    <w:rsid w:val="003B06CF"/>
    <w:rsid w:val="003B72DD"/>
    <w:rsid w:val="003B7ABC"/>
    <w:rsid w:val="003D33EB"/>
    <w:rsid w:val="003D3474"/>
    <w:rsid w:val="003D5D37"/>
    <w:rsid w:val="003D6454"/>
    <w:rsid w:val="003D7A72"/>
    <w:rsid w:val="0040026F"/>
    <w:rsid w:val="00400FB6"/>
    <w:rsid w:val="004012F2"/>
    <w:rsid w:val="004057C6"/>
    <w:rsid w:val="00412567"/>
    <w:rsid w:val="004138A2"/>
    <w:rsid w:val="00414806"/>
    <w:rsid w:val="00416E1E"/>
    <w:rsid w:val="00424530"/>
    <w:rsid w:val="0043577F"/>
    <w:rsid w:val="00441358"/>
    <w:rsid w:val="00441F85"/>
    <w:rsid w:val="0044243E"/>
    <w:rsid w:val="00443CC0"/>
    <w:rsid w:val="00444951"/>
    <w:rsid w:val="0045301B"/>
    <w:rsid w:val="00454B66"/>
    <w:rsid w:val="00455E0E"/>
    <w:rsid w:val="00462EFE"/>
    <w:rsid w:val="0046567E"/>
    <w:rsid w:val="00471278"/>
    <w:rsid w:val="0047143E"/>
    <w:rsid w:val="0047183C"/>
    <w:rsid w:val="004719B4"/>
    <w:rsid w:val="00471CA1"/>
    <w:rsid w:val="00471CCE"/>
    <w:rsid w:val="00473E7A"/>
    <w:rsid w:val="00475FA7"/>
    <w:rsid w:val="00481AC4"/>
    <w:rsid w:val="00482FB6"/>
    <w:rsid w:val="00484D12"/>
    <w:rsid w:val="00485926"/>
    <w:rsid w:val="0049754E"/>
    <w:rsid w:val="004A0706"/>
    <w:rsid w:val="004A5D8B"/>
    <w:rsid w:val="004B2FC0"/>
    <w:rsid w:val="004B356E"/>
    <w:rsid w:val="004B4F1C"/>
    <w:rsid w:val="004B7501"/>
    <w:rsid w:val="004B7784"/>
    <w:rsid w:val="004C1B19"/>
    <w:rsid w:val="004C398D"/>
    <w:rsid w:val="004C62EF"/>
    <w:rsid w:val="004C6392"/>
    <w:rsid w:val="004D1EF0"/>
    <w:rsid w:val="004D3CB5"/>
    <w:rsid w:val="004D6EB2"/>
    <w:rsid w:val="004E405B"/>
    <w:rsid w:val="004F0AB6"/>
    <w:rsid w:val="004F328E"/>
    <w:rsid w:val="004F63DB"/>
    <w:rsid w:val="00500AEE"/>
    <w:rsid w:val="005015C1"/>
    <w:rsid w:val="00502FFE"/>
    <w:rsid w:val="0050570D"/>
    <w:rsid w:val="00505E23"/>
    <w:rsid w:val="005105EF"/>
    <w:rsid w:val="005171A6"/>
    <w:rsid w:val="00520330"/>
    <w:rsid w:val="00523895"/>
    <w:rsid w:val="00533473"/>
    <w:rsid w:val="005335F6"/>
    <w:rsid w:val="00533D67"/>
    <w:rsid w:val="005410AB"/>
    <w:rsid w:val="00544A86"/>
    <w:rsid w:val="0056515A"/>
    <w:rsid w:val="00565691"/>
    <w:rsid w:val="00567919"/>
    <w:rsid w:val="00571BB6"/>
    <w:rsid w:val="00572F79"/>
    <w:rsid w:val="00575BA7"/>
    <w:rsid w:val="00577473"/>
    <w:rsid w:val="00582AA7"/>
    <w:rsid w:val="0058477C"/>
    <w:rsid w:val="00591C22"/>
    <w:rsid w:val="005A40A3"/>
    <w:rsid w:val="005B0DB5"/>
    <w:rsid w:val="005B5C09"/>
    <w:rsid w:val="005C498B"/>
    <w:rsid w:val="005C534E"/>
    <w:rsid w:val="005C7B50"/>
    <w:rsid w:val="005D4005"/>
    <w:rsid w:val="005D40D1"/>
    <w:rsid w:val="005E242B"/>
    <w:rsid w:val="005E5162"/>
    <w:rsid w:val="005E7828"/>
    <w:rsid w:val="005F3D27"/>
    <w:rsid w:val="005F6F31"/>
    <w:rsid w:val="00610305"/>
    <w:rsid w:val="00610419"/>
    <w:rsid w:val="00610B76"/>
    <w:rsid w:val="00611DDB"/>
    <w:rsid w:val="00612C7B"/>
    <w:rsid w:val="00613131"/>
    <w:rsid w:val="00614714"/>
    <w:rsid w:val="006177BE"/>
    <w:rsid w:val="00617E0A"/>
    <w:rsid w:val="006224C1"/>
    <w:rsid w:val="006245EE"/>
    <w:rsid w:val="006269B7"/>
    <w:rsid w:val="00633DC7"/>
    <w:rsid w:val="00636B02"/>
    <w:rsid w:val="00636D50"/>
    <w:rsid w:val="00636E1D"/>
    <w:rsid w:val="00641D1C"/>
    <w:rsid w:val="00642330"/>
    <w:rsid w:val="00646416"/>
    <w:rsid w:val="0064731E"/>
    <w:rsid w:val="00660253"/>
    <w:rsid w:val="0066094A"/>
    <w:rsid w:val="00663B0A"/>
    <w:rsid w:val="00663E54"/>
    <w:rsid w:val="006641F8"/>
    <w:rsid w:val="00666B6C"/>
    <w:rsid w:val="00670254"/>
    <w:rsid w:val="00696E7D"/>
    <w:rsid w:val="006973AC"/>
    <w:rsid w:val="006A5458"/>
    <w:rsid w:val="006A5C5F"/>
    <w:rsid w:val="006B5D90"/>
    <w:rsid w:val="006C186D"/>
    <w:rsid w:val="006C1A81"/>
    <w:rsid w:val="006C4D19"/>
    <w:rsid w:val="006D3166"/>
    <w:rsid w:val="006D5389"/>
    <w:rsid w:val="006D7E76"/>
    <w:rsid w:val="006F0A8C"/>
    <w:rsid w:val="006F445D"/>
    <w:rsid w:val="006F6F71"/>
    <w:rsid w:val="00700BEB"/>
    <w:rsid w:val="00700CE0"/>
    <w:rsid w:val="00703E4E"/>
    <w:rsid w:val="00706606"/>
    <w:rsid w:val="007071C6"/>
    <w:rsid w:val="00707424"/>
    <w:rsid w:val="00711E1C"/>
    <w:rsid w:val="00716860"/>
    <w:rsid w:val="00721FBA"/>
    <w:rsid w:val="00730352"/>
    <w:rsid w:val="00734952"/>
    <w:rsid w:val="00736CDF"/>
    <w:rsid w:val="00736F01"/>
    <w:rsid w:val="007409A8"/>
    <w:rsid w:val="00741B78"/>
    <w:rsid w:val="00742839"/>
    <w:rsid w:val="0075379A"/>
    <w:rsid w:val="00755505"/>
    <w:rsid w:val="0076316D"/>
    <w:rsid w:val="00764449"/>
    <w:rsid w:val="00764A6F"/>
    <w:rsid w:val="00772993"/>
    <w:rsid w:val="00777102"/>
    <w:rsid w:val="007815FB"/>
    <w:rsid w:val="00781BD0"/>
    <w:rsid w:val="00781D80"/>
    <w:rsid w:val="00785142"/>
    <w:rsid w:val="0078590E"/>
    <w:rsid w:val="00791214"/>
    <w:rsid w:val="007929DC"/>
    <w:rsid w:val="00797EF3"/>
    <w:rsid w:val="007A0054"/>
    <w:rsid w:val="007A44A6"/>
    <w:rsid w:val="007A5353"/>
    <w:rsid w:val="007B39D7"/>
    <w:rsid w:val="007B3D63"/>
    <w:rsid w:val="007C02A1"/>
    <w:rsid w:val="007C55D0"/>
    <w:rsid w:val="007D6876"/>
    <w:rsid w:val="007E165F"/>
    <w:rsid w:val="007E494E"/>
    <w:rsid w:val="007F71F4"/>
    <w:rsid w:val="007F7B64"/>
    <w:rsid w:val="008068DD"/>
    <w:rsid w:val="008075A6"/>
    <w:rsid w:val="008104A8"/>
    <w:rsid w:val="00813BAC"/>
    <w:rsid w:val="00813CD4"/>
    <w:rsid w:val="00820C14"/>
    <w:rsid w:val="00821B9D"/>
    <w:rsid w:val="0082272B"/>
    <w:rsid w:val="008236E6"/>
    <w:rsid w:val="00825752"/>
    <w:rsid w:val="0083584C"/>
    <w:rsid w:val="0084468C"/>
    <w:rsid w:val="008447F9"/>
    <w:rsid w:val="00847035"/>
    <w:rsid w:val="008549BD"/>
    <w:rsid w:val="008552A0"/>
    <w:rsid w:val="00860ADA"/>
    <w:rsid w:val="00865492"/>
    <w:rsid w:val="00867CB4"/>
    <w:rsid w:val="008708AB"/>
    <w:rsid w:val="00874A94"/>
    <w:rsid w:val="00874ED5"/>
    <w:rsid w:val="00875966"/>
    <w:rsid w:val="00886DA2"/>
    <w:rsid w:val="00894D1E"/>
    <w:rsid w:val="008A056D"/>
    <w:rsid w:val="008A2868"/>
    <w:rsid w:val="008B4CB2"/>
    <w:rsid w:val="008C2878"/>
    <w:rsid w:val="008C5B82"/>
    <w:rsid w:val="008C5C8E"/>
    <w:rsid w:val="008C64DC"/>
    <w:rsid w:val="008F0446"/>
    <w:rsid w:val="008F11BF"/>
    <w:rsid w:val="008F2F1F"/>
    <w:rsid w:val="008F3908"/>
    <w:rsid w:val="008F6BB2"/>
    <w:rsid w:val="009003D3"/>
    <w:rsid w:val="009014B6"/>
    <w:rsid w:val="009058AF"/>
    <w:rsid w:val="00905B44"/>
    <w:rsid w:val="00906A12"/>
    <w:rsid w:val="00912882"/>
    <w:rsid w:val="00912895"/>
    <w:rsid w:val="009210DE"/>
    <w:rsid w:val="00925E17"/>
    <w:rsid w:val="0092673F"/>
    <w:rsid w:val="00930D4B"/>
    <w:rsid w:val="00934C22"/>
    <w:rsid w:val="009403A7"/>
    <w:rsid w:val="00943B87"/>
    <w:rsid w:val="009533EC"/>
    <w:rsid w:val="009569FD"/>
    <w:rsid w:val="0096051F"/>
    <w:rsid w:val="0096160F"/>
    <w:rsid w:val="0096561A"/>
    <w:rsid w:val="00965B80"/>
    <w:rsid w:val="00972662"/>
    <w:rsid w:val="00982258"/>
    <w:rsid w:val="00991C94"/>
    <w:rsid w:val="00992CB7"/>
    <w:rsid w:val="0099736A"/>
    <w:rsid w:val="009A488E"/>
    <w:rsid w:val="009B1665"/>
    <w:rsid w:val="009C12C9"/>
    <w:rsid w:val="009C1CE7"/>
    <w:rsid w:val="009D0672"/>
    <w:rsid w:val="009D1D37"/>
    <w:rsid w:val="009D4587"/>
    <w:rsid w:val="009D55F7"/>
    <w:rsid w:val="009E76BE"/>
    <w:rsid w:val="009E79BF"/>
    <w:rsid w:val="009F3FE6"/>
    <w:rsid w:val="009F53AF"/>
    <w:rsid w:val="00A00E34"/>
    <w:rsid w:val="00A07D99"/>
    <w:rsid w:val="00A10257"/>
    <w:rsid w:val="00A126DD"/>
    <w:rsid w:val="00A13C4E"/>
    <w:rsid w:val="00A142BB"/>
    <w:rsid w:val="00A14332"/>
    <w:rsid w:val="00A27D88"/>
    <w:rsid w:val="00A304D0"/>
    <w:rsid w:val="00A321C8"/>
    <w:rsid w:val="00A42E25"/>
    <w:rsid w:val="00A4607D"/>
    <w:rsid w:val="00A464EB"/>
    <w:rsid w:val="00A53EC9"/>
    <w:rsid w:val="00A66653"/>
    <w:rsid w:val="00A6719D"/>
    <w:rsid w:val="00A92440"/>
    <w:rsid w:val="00A94AD2"/>
    <w:rsid w:val="00AA7A06"/>
    <w:rsid w:val="00AB104D"/>
    <w:rsid w:val="00AB1643"/>
    <w:rsid w:val="00AB3F45"/>
    <w:rsid w:val="00AB4387"/>
    <w:rsid w:val="00AB51DC"/>
    <w:rsid w:val="00AC4F5B"/>
    <w:rsid w:val="00AC5F6F"/>
    <w:rsid w:val="00AD0C73"/>
    <w:rsid w:val="00AE1A2D"/>
    <w:rsid w:val="00AE5347"/>
    <w:rsid w:val="00AE55F6"/>
    <w:rsid w:val="00AE56DB"/>
    <w:rsid w:val="00AE72F1"/>
    <w:rsid w:val="00AF1A97"/>
    <w:rsid w:val="00B0154C"/>
    <w:rsid w:val="00B05489"/>
    <w:rsid w:val="00B07D57"/>
    <w:rsid w:val="00B11F7D"/>
    <w:rsid w:val="00B137E8"/>
    <w:rsid w:val="00B13C87"/>
    <w:rsid w:val="00B15A57"/>
    <w:rsid w:val="00B1710D"/>
    <w:rsid w:val="00B32510"/>
    <w:rsid w:val="00B36D5E"/>
    <w:rsid w:val="00B437C3"/>
    <w:rsid w:val="00B526A8"/>
    <w:rsid w:val="00B55FAB"/>
    <w:rsid w:val="00B6734E"/>
    <w:rsid w:val="00B71A7C"/>
    <w:rsid w:val="00B82F27"/>
    <w:rsid w:val="00B83D9D"/>
    <w:rsid w:val="00B84529"/>
    <w:rsid w:val="00B91F11"/>
    <w:rsid w:val="00B96F7F"/>
    <w:rsid w:val="00B97004"/>
    <w:rsid w:val="00BA0F80"/>
    <w:rsid w:val="00BA4A45"/>
    <w:rsid w:val="00BB1620"/>
    <w:rsid w:val="00BB2111"/>
    <w:rsid w:val="00BC0638"/>
    <w:rsid w:val="00BC5DBC"/>
    <w:rsid w:val="00BC6760"/>
    <w:rsid w:val="00BC689F"/>
    <w:rsid w:val="00BC7FD2"/>
    <w:rsid w:val="00BD3084"/>
    <w:rsid w:val="00BD39D5"/>
    <w:rsid w:val="00BD5952"/>
    <w:rsid w:val="00BE0EEE"/>
    <w:rsid w:val="00BE384C"/>
    <w:rsid w:val="00BE6199"/>
    <w:rsid w:val="00BF0949"/>
    <w:rsid w:val="00BF0A66"/>
    <w:rsid w:val="00BF21D4"/>
    <w:rsid w:val="00BF2212"/>
    <w:rsid w:val="00BF2E75"/>
    <w:rsid w:val="00C00BB1"/>
    <w:rsid w:val="00C03AE7"/>
    <w:rsid w:val="00C04B91"/>
    <w:rsid w:val="00C05D9D"/>
    <w:rsid w:val="00C11EC3"/>
    <w:rsid w:val="00C1799D"/>
    <w:rsid w:val="00C214FD"/>
    <w:rsid w:val="00C24DD1"/>
    <w:rsid w:val="00C253AC"/>
    <w:rsid w:val="00C30871"/>
    <w:rsid w:val="00C35592"/>
    <w:rsid w:val="00C356AF"/>
    <w:rsid w:val="00C40CD7"/>
    <w:rsid w:val="00C41927"/>
    <w:rsid w:val="00C4246C"/>
    <w:rsid w:val="00C439D6"/>
    <w:rsid w:val="00C43FD9"/>
    <w:rsid w:val="00C443F1"/>
    <w:rsid w:val="00C44EB2"/>
    <w:rsid w:val="00C47E8F"/>
    <w:rsid w:val="00C51CAD"/>
    <w:rsid w:val="00C60915"/>
    <w:rsid w:val="00C61D95"/>
    <w:rsid w:val="00C62913"/>
    <w:rsid w:val="00C65DE9"/>
    <w:rsid w:val="00C87520"/>
    <w:rsid w:val="00C87BF1"/>
    <w:rsid w:val="00C964B8"/>
    <w:rsid w:val="00CA097E"/>
    <w:rsid w:val="00CA2380"/>
    <w:rsid w:val="00CA755F"/>
    <w:rsid w:val="00CB3ECB"/>
    <w:rsid w:val="00CC1BFA"/>
    <w:rsid w:val="00CC2BE4"/>
    <w:rsid w:val="00CD5BC4"/>
    <w:rsid w:val="00CE6FA5"/>
    <w:rsid w:val="00D01670"/>
    <w:rsid w:val="00D078B3"/>
    <w:rsid w:val="00D07F7C"/>
    <w:rsid w:val="00D10343"/>
    <w:rsid w:val="00D106AA"/>
    <w:rsid w:val="00D152E7"/>
    <w:rsid w:val="00D21F91"/>
    <w:rsid w:val="00D26A44"/>
    <w:rsid w:val="00D30519"/>
    <w:rsid w:val="00D30B20"/>
    <w:rsid w:val="00D33C21"/>
    <w:rsid w:val="00D341CF"/>
    <w:rsid w:val="00D44360"/>
    <w:rsid w:val="00D54026"/>
    <w:rsid w:val="00D549B9"/>
    <w:rsid w:val="00D55674"/>
    <w:rsid w:val="00D557EE"/>
    <w:rsid w:val="00D56058"/>
    <w:rsid w:val="00D57F4B"/>
    <w:rsid w:val="00D62F3D"/>
    <w:rsid w:val="00D6304F"/>
    <w:rsid w:val="00D64965"/>
    <w:rsid w:val="00D656AD"/>
    <w:rsid w:val="00D66BAA"/>
    <w:rsid w:val="00D733DB"/>
    <w:rsid w:val="00D75F62"/>
    <w:rsid w:val="00D76E91"/>
    <w:rsid w:val="00D80028"/>
    <w:rsid w:val="00D872D1"/>
    <w:rsid w:val="00DA25CC"/>
    <w:rsid w:val="00DB00A5"/>
    <w:rsid w:val="00DB06C6"/>
    <w:rsid w:val="00DB4809"/>
    <w:rsid w:val="00DB4C41"/>
    <w:rsid w:val="00DB5E8F"/>
    <w:rsid w:val="00DB78B4"/>
    <w:rsid w:val="00DC1511"/>
    <w:rsid w:val="00DC4B65"/>
    <w:rsid w:val="00DC5C34"/>
    <w:rsid w:val="00DC7C3E"/>
    <w:rsid w:val="00DD6018"/>
    <w:rsid w:val="00DD7B2C"/>
    <w:rsid w:val="00DE19BE"/>
    <w:rsid w:val="00DE30E0"/>
    <w:rsid w:val="00DE3329"/>
    <w:rsid w:val="00DF3EDB"/>
    <w:rsid w:val="00E00BB5"/>
    <w:rsid w:val="00E040CA"/>
    <w:rsid w:val="00E1552A"/>
    <w:rsid w:val="00E17201"/>
    <w:rsid w:val="00E17C1E"/>
    <w:rsid w:val="00E2088C"/>
    <w:rsid w:val="00E22BCE"/>
    <w:rsid w:val="00E3052C"/>
    <w:rsid w:val="00E3204C"/>
    <w:rsid w:val="00E326FF"/>
    <w:rsid w:val="00E361B0"/>
    <w:rsid w:val="00E36CFD"/>
    <w:rsid w:val="00E37E76"/>
    <w:rsid w:val="00E5585F"/>
    <w:rsid w:val="00E61206"/>
    <w:rsid w:val="00E62551"/>
    <w:rsid w:val="00E62DB8"/>
    <w:rsid w:val="00E64414"/>
    <w:rsid w:val="00E677EF"/>
    <w:rsid w:val="00E7206F"/>
    <w:rsid w:val="00E74B05"/>
    <w:rsid w:val="00E849BE"/>
    <w:rsid w:val="00E859DF"/>
    <w:rsid w:val="00E87041"/>
    <w:rsid w:val="00E87633"/>
    <w:rsid w:val="00E90EE2"/>
    <w:rsid w:val="00E95201"/>
    <w:rsid w:val="00EA0BE2"/>
    <w:rsid w:val="00EA1807"/>
    <w:rsid w:val="00EA2BB2"/>
    <w:rsid w:val="00EA31C3"/>
    <w:rsid w:val="00EA4947"/>
    <w:rsid w:val="00EB114F"/>
    <w:rsid w:val="00EB4512"/>
    <w:rsid w:val="00EB5917"/>
    <w:rsid w:val="00EB6E9C"/>
    <w:rsid w:val="00EB7109"/>
    <w:rsid w:val="00EC0C36"/>
    <w:rsid w:val="00EC0C41"/>
    <w:rsid w:val="00EC0F39"/>
    <w:rsid w:val="00EC1594"/>
    <w:rsid w:val="00ED0D8D"/>
    <w:rsid w:val="00EE0036"/>
    <w:rsid w:val="00EE456B"/>
    <w:rsid w:val="00EE489F"/>
    <w:rsid w:val="00EF08EE"/>
    <w:rsid w:val="00EF2CA1"/>
    <w:rsid w:val="00F00C37"/>
    <w:rsid w:val="00F01301"/>
    <w:rsid w:val="00F034AC"/>
    <w:rsid w:val="00F045E9"/>
    <w:rsid w:val="00F07EAC"/>
    <w:rsid w:val="00F10ADA"/>
    <w:rsid w:val="00F13062"/>
    <w:rsid w:val="00F15C88"/>
    <w:rsid w:val="00F160D2"/>
    <w:rsid w:val="00F245FB"/>
    <w:rsid w:val="00F3521D"/>
    <w:rsid w:val="00F407BF"/>
    <w:rsid w:val="00F4748D"/>
    <w:rsid w:val="00F477D6"/>
    <w:rsid w:val="00F606BA"/>
    <w:rsid w:val="00F612B3"/>
    <w:rsid w:val="00F62B72"/>
    <w:rsid w:val="00F66556"/>
    <w:rsid w:val="00F7064A"/>
    <w:rsid w:val="00F70991"/>
    <w:rsid w:val="00F725A1"/>
    <w:rsid w:val="00F747AD"/>
    <w:rsid w:val="00F942CA"/>
    <w:rsid w:val="00F9452C"/>
    <w:rsid w:val="00F96267"/>
    <w:rsid w:val="00F96B88"/>
    <w:rsid w:val="00FA1229"/>
    <w:rsid w:val="00FA6FF7"/>
    <w:rsid w:val="00FA7EE8"/>
    <w:rsid w:val="00FB0678"/>
    <w:rsid w:val="00FB7206"/>
    <w:rsid w:val="00FC1D72"/>
    <w:rsid w:val="00FD1E48"/>
    <w:rsid w:val="00FD2AE4"/>
    <w:rsid w:val="00FE30FD"/>
    <w:rsid w:val="00FE5577"/>
    <w:rsid w:val="00FF1A67"/>
    <w:rsid w:val="00FF2324"/>
    <w:rsid w:val="00FF34CA"/>
  </w:rsids>
  <m:mathPr>
    <m:mathFont m:val="Cambria Math"/>
    <m:brkBin m:val="before"/>
    <m:brkBinSub m:val="--"/>
    <m:smallFrac m:val="0"/>
    <m:dispDef m:val="0"/>
    <m:lMargin m:val="0"/>
    <m:rMargin m:val="0"/>
    <m:defJc m:val="centerGroup"/>
    <m:wrapRight/>
    <m:intLim m:val="subSup"/>
    <m:naryLim m:val="subSup"/>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nhideWhenUsed="1"/>
    <w:lsdException w:name="footer" w:unhideWhenUsed="1"/>
    <w:lsdException w:name="caption" w:uiPriority="35" w:qFormat="1"/>
    <w:lsdException w:name="table of figures" w:unhideWhenUsed="1" w:qFormat="1"/>
    <w:lsdException w:name="footnote reference" w:unhideWhenUsed="1" w:qFormat="1"/>
    <w:lsdException w:name="page number" w:unhideWhenUsed="1"/>
    <w:lsdException w:name="List" w:unhideWhenUsed="1" w:qFormat="1"/>
    <w:lsdException w:name="List Bullet" w:semiHidden="0" w:uiPriority="0"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C2F42"/>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6"/>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6"/>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25752"/>
    <w:pPr>
      <w:numPr>
        <w:numId w:val="9"/>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5"/>
      </w:numPr>
      <w:spacing w:before="240" w:after="120"/>
      <w:contextualSpacing/>
    </w:pPr>
    <w:rPr>
      <w:sz w:val="22"/>
    </w:rPr>
  </w:style>
  <w:style w:type="paragraph" w:customStyle="1" w:styleId="Titlelevel1">
    <w:name w:val="Title level 1"/>
    <w:autoRedefine/>
    <w:qFormat/>
    <w:rsid w:val="009403A7"/>
    <w:pPr>
      <w:pBdr>
        <w:bottom w:val="single" w:sz="8" w:space="1" w:color="2F5773" w:themeColor="text2"/>
      </w:pBdr>
      <w:spacing w:before="240" w:after="36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6"/>
      </w:numPr>
    </w:pPr>
  </w:style>
  <w:style w:type="table" w:customStyle="1" w:styleId="LightShading1">
    <w:name w:val="Light Shading1"/>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8"/>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7"/>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BodyText1">
    <w:name w:val="Body Text1"/>
    <w:basedOn w:val="Normal"/>
    <w:qFormat/>
    <w:rsid w:val="004B7501"/>
    <w:pPr>
      <w:tabs>
        <w:tab w:val="left" w:pos="0"/>
      </w:tabs>
      <w:spacing w:line="300" w:lineRule="exact"/>
      <w:jc w:val="both"/>
    </w:pPr>
    <w:rPr>
      <w:rFonts w:ascii="Arial" w:eastAsia="Times New Roman" w:hAnsi="Arial" w:cs="Times New Roman"/>
      <w:color w:val="000000"/>
      <w:sz w:val="20"/>
      <w:szCs w:val="20"/>
    </w:rPr>
  </w:style>
  <w:style w:type="paragraph" w:styleId="ListParagraph">
    <w:name w:val="List Paragraph"/>
    <w:basedOn w:val="Normal"/>
    <w:uiPriority w:val="34"/>
    <w:qFormat/>
    <w:rsid w:val="000F00EE"/>
    <w:pPr>
      <w:spacing w:after="200" w:line="276" w:lineRule="auto"/>
      <w:ind w:left="720"/>
      <w:contextualSpacing/>
    </w:pPr>
    <w:rPr>
      <w:szCs w:val="22"/>
      <w:lang w:eastAsia="en-GB"/>
    </w:rPr>
  </w:style>
  <w:style w:type="character" w:styleId="CommentReference">
    <w:name w:val="annotation reference"/>
    <w:basedOn w:val="DefaultParagraphFont"/>
    <w:uiPriority w:val="99"/>
    <w:semiHidden/>
    <w:rsid w:val="006F6F71"/>
    <w:rPr>
      <w:sz w:val="16"/>
      <w:szCs w:val="16"/>
    </w:rPr>
  </w:style>
  <w:style w:type="paragraph" w:styleId="CommentText">
    <w:name w:val="annotation text"/>
    <w:basedOn w:val="Normal"/>
    <w:link w:val="CommentTextChar"/>
    <w:uiPriority w:val="99"/>
    <w:semiHidden/>
    <w:rsid w:val="006F6F71"/>
    <w:rPr>
      <w:sz w:val="20"/>
      <w:szCs w:val="20"/>
    </w:rPr>
  </w:style>
  <w:style w:type="character" w:customStyle="1" w:styleId="CommentTextChar">
    <w:name w:val="Comment Text Char"/>
    <w:basedOn w:val="DefaultParagraphFont"/>
    <w:link w:val="CommentText"/>
    <w:uiPriority w:val="99"/>
    <w:semiHidden/>
    <w:rsid w:val="006F6F71"/>
    <w:rPr>
      <w:sz w:val="20"/>
      <w:szCs w:val="20"/>
      <w:lang w:val="en-GB"/>
    </w:rPr>
  </w:style>
  <w:style w:type="paragraph" w:styleId="CommentSubject">
    <w:name w:val="annotation subject"/>
    <w:basedOn w:val="CommentText"/>
    <w:next w:val="CommentText"/>
    <w:link w:val="CommentSubjectChar"/>
    <w:uiPriority w:val="99"/>
    <w:semiHidden/>
    <w:rsid w:val="006F6F71"/>
    <w:rPr>
      <w:b/>
      <w:bCs/>
    </w:rPr>
  </w:style>
  <w:style w:type="character" w:customStyle="1" w:styleId="CommentSubjectChar">
    <w:name w:val="Comment Subject Char"/>
    <w:basedOn w:val="CommentTextChar"/>
    <w:link w:val="CommentSubject"/>
    <w:uiPriority w:val="99"/>
    <w:semiHidden/>
    <w:rsid w:val="006F6F71"/>
    <w:rPr>
      <w:b/>
      <w:bCs/>
      <w:sz w:val="20"/>
      <w:szCs w:val="20"/>
      <w:lang w:val="en-GB"/>
    </w:rPr>
  </w:style>
  <w:style w:type="table" w:customStyle="1" w:styleId="TableGrid1">
    <w:name w:val="Table Grid1"/>
    <w:basedOn w:val="TableNormal"/>
    <w:next w:val="TableGrid"/>
    <w:uiPriority w:val="59"/>
    <w:rsid w:val="00246431"/>
    <w:rPr>
      <w:rFonts w:eastAsia="Calibr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0">
    <w:name w:val="Light Shading1"/>
    <w:basedOn w:val="TableNormal"/>
    <w:next w:val="LightShading1"/>
    <w:uiPriority w:val="60"/>
    <w:rsid w:val="00246431"/>
    <w:rPr>
      <w:rFonts w:eastAsia="Calibri"/>
      <w:color w:val="000000"/>
      <w:sz w:val="22"/>
      <w:szCs w:val="22"/>
      <w:lang w:val="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3204C"/>
    <w:pPr>
      <w:autoSpaceDE w:val="0"/>
      <w:autoSpaceDN w:val="0"/>
      <w:adjustRightInd w:val="0"/>
    </w:pPr>
    <w:rPr>
      <w:rFonts w:ascii="Arial" w:eastAsiaTheme="minorHAnsi" w:hAnsi="Arial" w:cs="Arial"/>
      <w:color w:val="000000"/>
      <w:lang w:val="pt-PT"/>
    </w:rPr>
  </w:style>
  <w:style w:type="table" w:customStyle="1" w:styleId="TableGrid2">
    <w:name w:val="Table Grid2"/>
    <w:basedOn w:val="TableProfessional"/>
    <w:next w:val="TableGrid"/>
    <w:uiPriority w:val="59"/>
    <w:rsid w:val="002C2F4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Grid3">
    <w:name w:val="Table Grid3"/>
    <w:basedOn w:val="TableProfessional"/>
    <w:next w:val="TableGrid"/>
    <w:uiPriority w:val="59"/>
    <w:rsid w:val="006D7E76"/>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Grid11">
    <w:name w:val="Table Grid11"/>
    <w:basedOn w:val="TableNormal"/>
    <w:next w:val="TableGrid"/>
    <w:uiPriority w:val="59"/>
    <w:rsid w:val="006D7E76"/>
    <w:rPr>
      <w:rFonts w:eastAsia="Calibr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D7E76"/>
    <w:rPr>
      <w:rFonts w:eastAsia="Calibri"/>
      <w:color w:val="000000"/>
      <w:sz w:val="22"/>
      <w:szCs w:val="22"/>
      <w:lang w:val="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D30B20"/>
    <w:rPr>
      <w:sz w:val="22"/>
      <w:lang w:val="en-GB"/>
    </w:rPr>
  </w:style>
  <w:style w:type="character" w:customStyle="1" w:styleId="numberedparagraphChar">
    <w:name w:val="numbered paragraph Char"/>
    <w:basedOn w:val="DefaultParagraphFont"/>
    <w:link w:val="numberedparagraph"/>
    <w:rsid w:val="00006B55"/>
    <w:rPr>
      <w:sz w:val="22"/>
    </w:rPr>
  </w:style>
  <w:style w:type="paragraph" w:customStyle="1" w:styleId="CM4">
    <w:name w:val="CM4"/>
    <w:basedOn w:val="Default"/>
    <w:next w:val="Default"/>
    <w:uiPriority w:val="99"/>
    <w:rsid w:val="0040026F"/>
    <w:rPr>
      <w:rFonts w:ascii="EUAlbertina" w:eastAsiaTheme="minorEastAsia" w:hAnsi="EUAlbertina" w:cstheme="minorBidi"/>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nhideWhenUsed="1"/>
    <w:lsdException w:name="footer" w:unhideWhenUsed="1"/>
    <w:lsdException w:name="caption" w:uiPriority="35" w:qFormat="1"/>
    <w:lsdException w:name="table of figures" w:unhideWhenUsed="1" w:qFormat="1"/>
    <w:lsdException w:name="footnote reference" w:unhideWhenUsed="1" w:qFormat="1"/>
    <w:lsdException w:name="page number" w:unhideWhenUsed="1"/>
    <w:lsdException w:name="List" w:unhideWhenUsed="1" w:qFormat="1"/>
    <w:lsdException w:name="List Bullet" w:semiHidden="0" w:uiPriority="0"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C2F42"/>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6"/>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6"/>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25752"/>
    <w:pPr>
      <w:numPr>
        <w:numId w:val="9"/>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5"/>
      </w:numPr>
      <w:spacing w:before="240" w:after="120"/>
      <w:contextualSpacing/>
    </w:pPr>
    <w:rPr>
      <w:sz w:val="22"/>
    </w:rPr>
  </w:style>
  <w:style w:type="paragraph" w:customStyle="1" w:styleId="Titlelevel1">
    <w:name w:val="Title level 1"/>
    <w:autoRedefine/>
    <w:qFormat/>
    <w:rsid w:val="009403A7"/>
    <w:pPr>
      <w:pBdr>
        <w:bottom w:val="single" w:sz="8" w:space="1" w:color="2F5773" w:themeColor="text2"/>
      </w:pBdr>
      <w:spacing w:before="240" w:after="36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6"/>
      </w:numPr>
    </w:pPr>
  </w:style>
  <w:style w:type="table" w:customStyle="1" w:styleId="LightShading1">
    <w:name w:val="Light Shading1"/>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8"/>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7"/>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BodyText1">
    <w:name w:val="Body Text1"/>
    <w:basedOn w:val="Normal"/>
    <w:qFormat/>
    <w:rsid w:val="004B7501"/>
    <w:pPr>
      <w:tabs>
        <w:tab w:val="left" w:pos="0"/>
      </w:tabs>
      <w:spacing w:line="300" w:lineRule="exact"/>
      <w:jc w:val="both"/>
    </w:pPr>
    <w:rPr>
      <w:rFonts w:ascii="Arial" w:eastAsia="Times New Roman" w:hAnsi="Arial" w:cs="Times New Roman"/>
      <w:color w:val="000000"/>
      <w:sz w:val="20"/>
      <w:szCs w:val="20"/>
    </w:rPr>
  </w:style>
  <w:style w:type="paragraph" w:styleId="ListParagraph">
    <w:name w:val="List Paragraph"/>
    <w:basedOn w:val="Normal"/>
    <w:uiPriority w:val="34"/>
    <w:qFormat/>
    <w:rsid w:val="000F00EE"/>
    <w:pPr>
      <w:spacing w:after="200" w:line="276" w:lineRule="auto"/>
      <w:ind w:left="720"/>
      <w:contextualSpacing/>
    </w:pPr>
    <w:rPr>
      <w:szCs w:val="22"/>
      <w:lang w:eastAsia="en-GB"/>
    </w:rPr>
  </w:style>
  <w:style w:type="character" w:styleId="CommentReference">
    <w:name w:val="annotation reference"/>
    <w:basedOn w:val="DefaultParagraphFont"/>
    <w:uiPriority w:val="99"/>
    <w:semiHidden/>
    <w:rsid w:val="006F6F71"/>
    <w:rPr>
      <w:sz w:val="16"/>
      <w:szCs w:val="16"/>
    </w:rPr>
  </w:style>
  <w:style w:type="paragraph" w:styleId="CommentText">
    <w:name w:val="annotation text"/>
    <w:basedOn w:val="Normal"/>
    <w:link w:val="CommentTextChar"/>
    <w:uiPriority w:val="99"/>
    <w:semiHidden/>
    <w:rsid w:val="006F6F71"/>
    <w:rPr>
      <w:sz w:val="20"/>
      <w:szCs w:val="20"/>
    </w:rPr>
  </w:style>
  <w:style w:type="character" w:customStyle="1" w:styleId="CommentTextChar">
    <w:name w:val="Comment Text Char"/>
    <w:basedOn w:val="DefaultParagraphFont"/>
    <w:link w:val="CommentText"/>
    <w:uiPriority w:val="99"/>
    <w:semiHidden/>
    <w:rsid w:val="006F6F71"/>
    <w:rPr>
      <w:sz w:val="20"/>
      <w:szCs w:val="20"/>
      <w:lang w:val="en-GB"/>
    </w:rPr>
  </w:style>
  <w:style w:type="paragraph" w:styleId="CommentSubject">
    <w:name w:val="annotation subject"/>
    <w:basedOn w:val="CommentText"/>
    <w:next w:val="CommentText"/>
    <w:link w:val="CommentSubjectChar"/>
    <w:uiPriority w:val="99"/>
    <w:semiHidden/>
    <w:rsid w:val="006F6F71"/>
    <w:rPr>
      <w:b/>
      <w:bCs/>
    </w:rPr>
  </w:style>
  <w:style w:type="character" w:customStyle="1" w:styleId="CommentSubjectChar">
    <w:name w:val="Comment Subject Char"/>
    <w:basedOn w:val="CommentTextChar"/>
    <w:link w:val="CommentSubject"/>
    <w:uiPriority w:val="99"/>
    <w:semiHidden/>
    <w:rsid w:val="006F6F71"/>
    <w:rPr>
      <w:b/>
      <w:bCs/>
      <w:sz w:val="20"/>
      <w:szCs w:val="20"/>
      <w:lang w:val="en-GB"/>
    </w:rPr>
  </w:style>
  <w:style w:type="table" w:customStyle="1" w:styleId="TableGrid1">
    <w:name w:val="Table Grid1"/>
    <w:basedOn w:val="TableNormal"/>
    <w:next w:val="TableGrid"/>
    <w:uiPriority w:val="59"/>
    <w:rsid w:val="00246431"/>
    <w:rPr>
      <w:rFonts w:eastAsia="Calibr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0">
    <w:name w:val="Light Shading1"/>
    <w:basedOn w:val="TableNormal"/>
    <w:next w:val="LightShading1"/>
    <w:uiPriority w:val="60"/>
    <w:rsid w:val="00246431"/>
    <w:rPr>
      <w:rFonts w:eastAsia="Calibri"/>
      <w:color w:val="000000"/>
      <w:sz w:val="22"/>
      <w:szCs w:val="22"/>
      <w:lang w:val="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3204C"/>
    <w:pPr>
      <w:autoSpaceDE w:val="0"/>
      <w:autoSpaceDN w:val="0"/>
      <w:adjustRightInd w:val="0"/>
    </w:pPr>
    <w:rPr>
      <w:rFonts w:ascii="Arial" w:eastAsiaTheme="minorHAnsi" w:hAnsi="Arial" w:cs="Arial"/>
      <w:color w:val="000000"/>
      <w:lang w:val="pt-PT"/>
    </w:rPr>
  </w:style>
  <w:style w:type="table" w:customStyle="1" w:styleId="TableGrid2">
    <w:name w:val="Table Grid2"/>
    <w:basedOn w:val="TableProfessional"/>
    <w:next w:val="TableGrid"/>
    <w:uiPriority w:val="59"/>
    <w:rsid w:val="002C2F4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Grid3">
    <w:name w:val="Table Grid3"/>
    <w:basedOn w:val="TableProfessional"/>
    <w:next w:val="TableGrid"/>
    <w:uiPriority w:val="59"/>
    <w:rsid w:val="006D7E76"/>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Grid11">
    <w:name w:val="Table Grid11"/>
    <w:basedOn w:val="TableNormal"/>
    <w:next w:val="TableGrid"/>
    <w:uiPriority w:val="59"/>
    <w:rsid w:val="006D7E76"/>
    <w:rPr>
      <w:rFonts w:eastAsia="Calibr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D7E76"/>
    <w:rPr>
      <w:rFonts w:eastAsia="Calibri"/>
      <w:color w:val="000000"/>
      <w:sz w:val="22"/>
      <w:szCs w:val="22"/>
      <w:lang w:val="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D30B20"/>
    <w:rPr>
      <w:sz w:val="22"/>
      <w:lang w:val="en-GB"/>
    </w:rPr>
  </w:style>
  <w:style w:type="character" w:customStyle="1" w:styleId="numberedparagraphChar">
    <w:name w:val="numbered paragraph Char"/>
    <w:basedOn w:val="DefaultParagraphFont"/>
    <w:link w:val="numberedparagraph"/>
    <w:rsid w:val="00006B55"/>
    <w:rPr>
      <w:sz w:val="22"/>
    </w:rPr>
  </w:style>
  <w:style w:type="paragraph" w:customStyle="1" w:styleId="CM4">
    <w:name w:val="CM4"/>
    <w:basedOn w:val="Default"/>
    <w:next w:val="Default"/>
    <w:uiPriority w:val="99"/>
    <w:rsid w:val="0040026F"/>
    <w:rPr>
      <w:rFonts w:ascii="EUAlbertina" w:eastAsiaTheme="minorEastAsia" w:hAnsi="EUAlbertina"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3207">
      <w:bodyDiv w:val="1"/>
      <w:marLeft w:val="0"/>
      <w:marRight w:val="0"/>
      <w:marTop w:val="0"/>
      <w:marBottom w:val="0"/>
      <w:divBdr>
        <w:top w:val="none" w:sz="0" w:space="0" w:color="auto"/>
        <w:left w:val="none" w:sz="0" w:space="0" w:color="auto"/>
        <w:bottom w:val="none" w:sz="0" w:space="0" w:color="auto"/>
        <w:right w:val="none" w:sz="0" w:space="0" w:color="auto"/>
      </w:divBdr>
    </w:div>
    <w:div w:id="532499905">
      <w:bodyDiv w:val="1"/>
      <w:marLeft w:val="0"/>
      <w:marRight w:val="0"/>
      <w:marTop w:val="0"/>
      <w:marBottom w:val="0"/>
      <w:divBdr>
        <w:top w:val="none" w:sz="0" w:space="0" w:color="auto"/>
        <w:left w:val="none" w:sz="0" w:space="0" w:color="auto"/>
        <w:bottom w:val="none" w:sz="0" w:space="0" w:color="auto"/>
        <w:right w:val="none" w:sz="0" w:space="0" w:color="auto"/>
      </w:divBdr>
    </w:div>
    <w:div w:id="690645461">
      <w:bodyDiv w:val="1"/>
      <w:marLeft w:val="0"/>
      <w:marRight w:val="0"/>
      <w:marTop w:val="0"/>
      <w:marBottom w:val="0"/>
      <w:divBdr>
        <w:top w:val="none" w:sz="0" w:space="0" w:color="auto"/>
        <w:left w:val="none" w:sz="0" w:space="0" w:color="auto"/>
        <w:bottom w:val="none" w:sz="0" w:space="0" w:color="auto"/>
        <w:right w:val="none" w:sz="0" w:space="0" w:color="auto"/>
      </w:divBdr>
    </w:div>
    <w:div w:id="877549153">
      <w:bodyDiv w:val="1"/>
      <w:marLeft w:val="0"/>
      <w:marRight w:val="0"/>
      <w:marTop w:val="0"/>
      <w:marBottom w:val="0"/>
      <w:divBdr>
        <w:top w:val="none" w:sz="0" w:space="0" w:color="auto"/>
        <w:left w:val="none" w:sz="0" w:space="0" w:color="auto"/>
        <w:bottom w:val="none" w:sz="0" w:space="0" w:color="auto"/>
        <w:right w:val="none" w:sz="0" w:space="0" w:color="auto"/>
      </w:divBdr>
    </w:div>
    <w:div w:id="969633588">
      <w:bodyDiv w:val="1"/>
      <w:marLeft w:val="0"/>
      <w:marRight w:val="0"/>
      <w:marTop w:val="0"/>
      <w:marBottom w:val="0"/>
      <w:divBdr>
        <w:top w:val="none" w:sz="0" w:space="0" w:color="auto"/>
        <w:left w:val="none" w:sz="0" w:space="0" w:color="auto"/>
        <w:bottom w:val="none" w:sz="0" w:space="0" w:color="auto"/>
        <w:right w:val="none" w:sz="0" w:space="0" w:color="auto"/>
      </w:divBdr>
    </w:div>
    <w:div w:id="105763214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70413298">
      <w:bodyDiv w:val="1"/>
      <w:marLeft w:val="0"/>
      <w:marRight w:val="0"/>
      <w:marTop w:val="0"/>
      <w:marBottom w:val="0"/>
      <w:divBdr>
        <w:top w:val="none" w:sz="0" w:space="0" w:color="auto"/>
        <w:left w:val="none" w:sz="0" w:space="0" w:color="auto"/>
        <w:bottom w:val="none" w:sz="0" w:space="0" w:color="auto"/>
        <w:right w:val="none" w:sz="0" w:space="0" w:color="auto"/>
      </w:divBdr>
    </w:div>
    <w:div w:id="1535925204">
      <w:bodyDiv w:val="1"/>
      <w:marLeft w:val="0"/>
      <w:marRight w:val="0"/>
      <w:marTop w:val="0"/>
      <w:marBottom w:val="0"/>
      <w:divBdr>
        <w:top w:val="none" w:sz="0" w:space="0" w:color="auto"/>
        <w:left w:val="none" w:sz="0" w:space="0" w:color="auto"/>
        <w:bottom w:val="none" w:sz="0" w:space="0" w:color="auto"/>
        <w:right w:val="none" w:sz="0" w:space="0" w:color="auto"/>
      </w:divBdr>
    </w:div>
    <w:div w:id="192984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tonio.Barzachki@eba.europa.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FF14-A0AE-492B-A56E-A41D5FE3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Antonio.Barzachki@eba.europa.eu</dc:creator>
  <cp:lastModifiedBy>Paysafe</cp:lastModifiedBy>
  <cp:revision>3</cp:revision>
  <cp:lastPrinted>2017-04-10T15:27:00Z</cp:lastPrinted>
  <dcterms:created xsi:type="dcterms:W3CDTF">2017-04-10T15:35:00Z</dcterms:created>
  <dcterms:modified xsi:type="dcterms:W3CDTF">2017-04-11T07:54:00Z</dcterms:modified>
</cp:coreProperties>
</file>